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0"/>
        <w:jc w:val="center"/>
        <w:textAlignment w:val="auto"/>
        <w:rPr>
          <w:rFonts w:hint="eastAsia" w:ascii="方正小标宋_GBK" w:hAnsi="方正小标宋_GBK" w:eastAsia="方正小标宋_GBK" w:cs="方正小标宋_GBK"/>
          <w:b w:val="0"/>
          <w:bCs/>
          <w:i w:val="0"/>
          <w:caps w:val="0"/>
          <w:color w:val="333333"/>
          <w:spacing w:val="0"/>
          <w:sz w:val="44"/>
          <w:szCs w:val="44"/>
        </w:rPr>
      </w:pPr>
      <w:r>
        <w:rPr>
          <w:rFonts w:hint="eastAsia" w:ascii="方正小标宋_GBK" w:hAnsi="方正小标宋_GBK" w:eastAsia="方正小标宋_GBK" w:cs="方正小标宋_GBK"/>
          <w:b w:val="0"/>
          <w:bCs/>
          <w:i w:val="0"/>
          <w:caps w:val="0"/>
          <w:color w:val="333333"/>
          <w:spacing w:val="0"/>
          <w:kern w:val="0"/>
          <w:sz w:val="44"/>
          <w:szCs w:val="44"/>
          <w:shd w:val="clear" w:fill="FFFFFF"/>
          <w:lang w:val="en-US" w:eastAsia="zh-CN" w:bidi="ar"/>
        </w:rPr>
        <w:t>中国共产党问责条例</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第一条　为了坚持党的领导，加强党的建设，全面从严治党，保证党的路线方针政策和党中央重大决策部署贯彻落实，规范和强化党的问责工作，根据《中国共产党章程》，制定本条例。</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第二条　党的问责工作坚持以马克思列宁主义、毛泽东思想、邓小平理论、“三个代表”重要思想、科学发展观、习近平新时代中国特色社会主义思想为指导，增强“四个意识”，坚定“四个自信”，坚决维护习近平总书记党中央的核心、全党的核心地位，坚决维护党中央权威和集中统一领导，围绕统筹推进“五位一体”总体布局和协调推进“四个全面”战略布局，落实管党治党政治责任，督促各级党组织、党的领导干部负责守责尽责，践行忠诚干净担当。</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第三条　党的问责工作应当坚持以下原则：</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（一）依规依纪、实事求是；</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（二）失责必问、问责必严；</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（三）权责一致、错责相当；</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（四）严管和厚爱结合、激励和约束并重；</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（五）惩前毖后、治病救人；</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（六）集体决定、分清责任。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第四条　党委（党组）应当履行全面从严治党主体责任，加强对本地区本部门本单位问责工作的领导，追究在党的建设、党的事业中失职失责党组织和党的领导干部的主体责任、监督责任、领导责任。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纪委应当履行监督专责，协助同级党委开展问责工作。纪委派驻（派出）机构按照职责权限开展问责工作。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党的工作机关应当依据职能履行监督职责，实施本机关本系统本领域的问责工作。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第五条　问责对象是党组织、党的领导干部，重点是党委（党组）、党的工作机关及其领导成员，纪委、纪委派驻（派出）机构及其领导成员。</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第六条　问责应当分清责任。党组织领导班子在职责范围内负有全面领导责任，领导班子主要负责人和直接主管的班子成员在职责范围内承担主要领导责任，参与决策和工作的班子成员在职责范围内承担重要领导责任。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对党组织问责的，应当同时对该党组织中负有责任的领导班子成员进行问责。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党组织和党的领导干部应当坚持把自己摆进去、把职责摆进去、把工作摆进去，注重从自身找问题、查原因，勇于担当、敢于负责，不得向下级党组织和干部推卸责任。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第七条　党组织、党的领导干部违反党章和其他党内法规，不履行或者不正确履行职责，有下列情形之一，应当予以问责：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一）党的领导弱化，“四个意识”不强，“两个维护”不力，党的基本理论、基本路线、基本方略没有得到有效贯彻执行，在贯彻新发展理念，推进经济建设、政治建设、文化建设、社会建设、生态文明建设中，出现重大偏差和失误，给党的事业和人民利益造成严重损失，产生恶劣影响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二）党的政治建设抓得不实，在重大原则问题上未能同党中央保持一致，贯彻落实党的路线方针政策和执行党中央重大决策部署不力，不遵守重大事项请示报告制度，有令不行、有禁不止，阳奉阴违、欺上瞒下，团团伙伙、拉帮结派问题突出，党内政治生活不严肃不健康，党的政治建设工作责任制落实不到位，造成严重后果或者恶劣影响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（三）党的思想建设缺失，党性教育特别是理想信念宗旨教育流于形式，意识形态工作责任制落实不到位，造成严重后果或者恶劣影响的；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四）党的组织建设薄弱，党建工作责任制不落实，严重违反民主集中制原则，不执行领导班子议事决策规则，民主生活会、“三会一课”等党的组织生活制度不执行，领导干部报告个人有关事项制度执行不力，党组织软弱涣散，违规选拔任用干部等问题突出，造成恶劣影响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五）党的作风建设松懈，落实中央八项规定及其实施细则精神不力，“四风”问题得不到有效整治，形式主义、官僚主义问题突出，执行党中央决策部署表态多调门高、行动少落实差，脱离实际、脱离群众，拖沓敷衍、推诿扯皮，造成严重后果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（六）党的纪律建设抓得不严，维护党的政治纪律、组织纪律、廉洁纪律、群众纪律、工作纪律、生活纪律不力，导致违规违纪行为多发，造成恶劣影响的；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七）推进党风廉政建设和反腐败斗争不坚决、不扎实，削减存量、遏制增量不力，特别是对不收敛、不收手，问题线索反映集中、群众反映强烈，政治问题和经济问题交织的腐败案件放任不管，造成恶劣影响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八）全面从严治党主体责任、监督责任落实不到位，对公权力的监督制约不力，好人主义盛行，不负责不担当，党内监督乏力，该发现的问题没有发现，发现问题不报告不处置，领导巡视巡察工作不力，落实巡视巡察整改要求走过场、不到位，该问责不问责，造成严重后果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（九）履行管理、监督职责不力，职责范围内发生重特大生产安全事故、群体性事件、公共安全事件，或者发生其他严重事故、事件，造成重大损失或者恶劣影响的；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十）在教育医疗、生态环境保护、食品药品安全、扶贫脱贫、社会保障等涉及人民群众最关心最直接最现实的利益问题上不作为、乱作为、慢作为、假作为，损害和侵占群众利益问题得不到整治，以言代法、以权压法、徇私枉法问题突出，群众身边腐败和作风问题严重，造成恶劣影响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（十一）其他应当问责的失职失责情形。</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第八条　对党组织的问责，根据危害程度以及具体情况，可以采取以下方式：</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（一）检查。责令作出书面检查并切实整改。</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（二）通报。责令整改，并在一定范围内通报。</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（三）改组。对失职失责，严重违犯党的纪律、本身又不能纠正的，应当予以改组。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对党的领导干部的问责，根据危害程度以及具体情况，可以采取以下方式：</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（一）通报。进行严肃批评，责令作出书面检查、切实整改，并在一定范围内通报。</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（二）诫勉。以谈话或者书面方式进行诫勉。</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（三）组织调整或者组织处理。对失职失责、危害较重，不适宜担任现职的，应当根据情况采取停职检查、调整职务、责令辞职、免职、降职等措施。</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（四）纪律处分。对失职失责、危害严重，应当给予纪律处分的，依照《中国共产党纪律处分条例》追究纪律责任。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上述问责方式，可以单独使用，也可以依据规定合并使用。问责方式有影响期的，按照有关规定执行。</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第九条　发现有本条例第七条所列问责情形，需要进行问责调查的，有管理权限的党委（党组）、纪委、党的工作机关应当经主要负责人审批，及时启动问责调查程序。其中，纪委、党的工作机关对同级党委直接领导的党组织及其主要负责人启动问责调查，应当报同级党委主要负责人批准。</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应当启动问责调查未及时启动的，上级党组织应当责令有管理权限的党组织启动。根据问题性质或者工作需要，上级党组织可以直接启动问责调查，也可以指定其他党组织启动。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对被立案审查的党组织、党的领导干部问责的，不再另行启动问责调查程序。</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第十条　启动问责调查后，应当组成调查组，依规依纪依法开展调查，查明党组织、党的领导干部失职失责问题，综合考虑主客观因素，正确区分贯彻执行党中央或者上级决策部署过程中出现的执行不当、执行不力、不执行等不同情况，精准提出处理意见，做到事实清楚、证据确凿、依据充分、责任分明、程序合规、处理恰当，防止问责不力或者问责泛化、简单化。</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第十一条　查明调查对象失职失责问题后，调查组应当撰写事实材料，与调查对象见面，听取其陈述和申辩，并记录在案；对合理意见，应当予以采纳。调查对象应当在事实材料上签署意见，对签署不同意见或者拒不签署意见的，调查组应当作出说明或者注明情况。</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调查工作结束后，调查组应当集体讨论，形成调查报告，列明调查对象基本情况、调查依据、调查过程，问责事实，调查对象的态度、认识及其申辩，处理意见以及依据，由调查组组长以及有关人员签名后，履行审批手续。</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第十二条　问责决定应当由有管理权限的党组织作出。</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对同级党委直接领导的党组织，纪委和党的工作机关报经同级党委或者其主要负责人批准，可以采取检查、通报方式进行问责。采取改组方式问责的，按照党章和有关党内法规规定的权限、程序执行。</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对同级党委管理的领导干部，纪委和党的工作机关报经同级党委或者其主要负责人批准，可以采取通报、诫勉方式进行问责；提出组织调整或者组织处理的建议。采取纪律处分方式问责的，按照党章和有关党内法规规定的权限、程序执行。</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第十三条　问责决定作出后，应当及时向被问责党组织、被问责领导干部及其所在党组织宣布并督促执行。有关问责情况应当向纪委和组织部门通报，纪委应当将问责决定材料归入被问责领导干部廉政档案，组织部门应当将问责决定材料归入被问责领导干部的人事档案，并报上一级组织部门备案；涉及组织调整或者组织处理的，相应手续应当在1个月内办理完毕。</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被问责领导干部应当向作出问责决定的党组织写出书面检讨，并在民主生活会、组织生活会或者党的其他会议上作出深刻检查。建立健全问责典型问题通报曝光制度，采取组织调整或者组织处理、纪律处分方式问责的，应当以适当方式公开。</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第十四条　被问责党组织、被问责领导干部及其所在党组织应当深刻汲取教训，明确整改措施。作出问责决定的党组织应当加强督促检查，推动以案促改。</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第十五条　需要对问责对象作出政务处分或者其他处理的，作出问责决定的党组织应当通报相关单位，相关单位应当及时处理并将结果通报或者报告作出问责决定的党组织。</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第十六条　实行终身问责，对失职失责性质恶劣、后果严重的，不论其责任人是否调离转岗、提拔或者退休等，都应当严肃问责。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第十七条　有下列情形之一的，可以不予问责或者免予问责：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（一）在推进改革中因缺乏经验、先行先试出现的失误，尚无明确限制的探索性试验中的失误，为推动发展的无意过失；</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（二）在集体决策中对错误决策提出明确反对意见或者保留意见的；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（三）在决策实施中已经履职尽责，但因不可抗力、难以预见等因素造成损失的。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对上级错误决定提出改正或者撤销意见未被采纳，而出现本条例第七条所列问责情形的，依照前款规定处理。上级错误决定明显违法违规的，应当承担相应的责任。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第十八条　有下列情形之一，可以从轻或者减轻问责：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（一）及时采取补救措施，有效挽回损失或者消除不良影响的；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（二）积极配合问责调查工作，主动承担责任的；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（三）党内法规规定的其他从轻、减轻情形。</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第十九条　有下列情形之一，应当从重或者加重问责：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（一）对党中央、上级党组织三令五申的指示要求，不执行或者执行不力的；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（二）在接受问责调查和处理中，不如实报告情况，敷衍塞责、推卸责任，或者唆使、默许有关部门和人员弄虚作假，阻扰问责工作的；</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（三）党内法规规定的其他从重、加重情形。</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第二十条　问责对象对问责决定不服的，可以自收到问责决定之日起1个月内，向作出问责决定的党组织</w:t>
      </w:r>
      <w:bookmarkStart w:id="0" w:name="_GoBack"/>
      <w:bookmarkEnd w:id="0"/>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提出书面申诉。作出问责决定的党组织接到书面申诉后，应当在1个月内作出申诉处理决定，并以书面形式告知提出申诉的党组织、领导干部及其所在党组织。</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申诉期间，不停止问责决定的执行。</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第二十一条　问责决定作出后，发现问责事实认定不清楚、证据不确凿、依据不充分、责任不清晰、程序不合规、处理不恰当，或者存在其他不应当问责、不精准问责情况的，应当及时予以纠正。必要时，上级党组织可以直接纠正或者责令作出问责决定的党组织予以纠正。</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党组织、党的领导干部滥用问责，或者在问责工作中严重不负责任，造成不良影响的，应当严肃追究责任。</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第二十二条　正确对待被问责干部，对影响期满、表现好的干部，符合条件的，按照干部选拔任用有关规定正常使用。</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第二十三条　本条例所涉及的审批权限均指最低审批权限，工作中根据需要可以按照更高层级的审批权限报批。</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第二十四条　纪委派驻（派出）机构除执行本条例外，还应当执行党中央以及中央纪委相关规定。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第二十五条　中央军事委员会可以根据本条例制定相关规定。</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第二十六条　本条例由中央纪律检查委员会负责解释。</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240" w:lineRule="auto"/>
        <w:ind w:left="0" w:firstLine="640" w:firstLineChars="200"/>
        <w:jc w:val="left"/>
        <w:textAlignment w:val="auto"/>
        <w:rPr>
          <w:rFonts w:hint="eastAsia" w:ascii="方正仿宋_GBK" w:hAnsi="方正仿宋_GBK" w:eastAsia="方正仿宋_GBK" w:cs="方正仿宋_GBK"/>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第二十七条　本条例自2019年9月1日起施行。2016年7月8日中共中央印发的《中国共产党问责条例》同时废止。此前发布的有关问责的规定，凡与本条例不一致的，按照本条例执行。</w:t>
      </w:r>
    </w:p>
    <w:p>
      <w:pPr>
        <w:keepNext w:val="0"/>
        <w:keepLines w:val="0"/>
        <w:pageBreakBefore w:val="0"/>
        <w:kinsoku/>
        <w:wordWrap/>
        <w:overflowPunct/>
        <w:topLinePunct w:val="0"/>
        <w:autoSpaceDE/>
        <w:autoSpaceDN/>
        <w:bidi w:val="0"/>
        <w:adjustRightInd/>
        <w:snapToGrid/>
        <w:spacing w:line="240" w:lineRule="auto"/>
        <w:ind w:firstLine="0"/>
        <w:textAlignment w:val="auto"/>
        <w:rPr>
          <w:rFonts w:hint="eastAsia" w:ascii="方正仿宋_GBK" w:hAnsi="方正仿宋_GBK" w:eastAsia="方正仿宋_GBK" w:cs="方正仿宋_GBK"/>
          <w:sz w:val="32"/>
          <w:szCs w:val="32"/>
        </w:rPr>
      </w:pPr>
    </w:p>
    <w:sectPr>
      <w:pgSz w:w="11906" w:h="16838"/>
      <w:pgMar w:top="1803" w:right="1440" w:bottom="180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BA4722"/>
    <w:rsid w:val="009A403B"/>
    <w:rsid w:val="1EC17C39"/>
    <w:rsid w:val="56BA4722"/>
    <w:rsid w:val="72CC6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2019-11-01T09:38:00Z</dcterms:created>
  <dc:creator>小逗子</dc:creator>
  <cp:lastModifiedBy>小逗子</cp:lastModifiedBy>
  <cp:lastPrinted>2019-11-03T10:53:43Z</cp:lastPrinted>
  <dcterms:modified xsi:type="dcterms:W3CDTF">2019-11-03T10:54:48Z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