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AC334">
      <w:pPr>
        <w:widowControl/>
        <w:jc w:val="center"/>
        <w:rPr>
          <w:rFonts w:hint="eastAsia" w:ascii="Times New Roman" w:hAnsi="Times New Roman" w:eastAsia="黑体" w:cs="Times New Roman"/>
          <w:sz w:val="32"/>
          <w:szCs w:val="44"/>
          <w:lang w:val="en-US" w:eastAsia="zh-CN"/>
        </w:rPr>
      </w:pPr>
      <w:bookmarkStart w:id="1" w:name="_GoBack"/>
      <w:bookmarkEnd w:id="1"/>
      <w:r>
        <w:rPr>
          <w:rFonts w:hint="default" w:ascii="Times New Roman" w:hAnsi="Times New Roman" w:eastAsia="黑体" w:cs="Times New Roman"/>
          <w:sz w:val="32"/>
          <w:szCs w:val="44"/>
          <w:lang w:val="en-US" w:eastAsia="zh-CN"/>
        </w:rPr>
        <w:t>省统筹平台</w:t>
      </w:r>
      <w:r>
        <w:rPr>
          <w:rFonts w:hint="eastAsia" w:ascii="Times New Roman" w:hAnsi="Times New Roman" w:eastAsia="黑体" w:cs="Times New Roman"/>
          <w:sz w:val="32"/>
          <w:szCs w:val="44"/>
          <w:lang w:val="en-US" w:eastAsia="zh-CN"/>
        </w:rPr>
        <w:t>（一期）</w:t>
      </w:r>
    </w:p>
    <w:p w14:paraId="2D6E2BE3">
      <w:pPr>
        <w:widowControl/>
        <w:jc w:val="center"/>
        <w:rPr>
          <w:rFonts w:ascii="Times New Roman" w:hAnsi="Times New Roman" w:eastAsia="黑体" w:cs="Times New Roman"/>
          <w:sz w:val="32"/>
          <w:szCs w:val="44"/>
          <w:lang w:val="zh-CN"/>
        </w:rPr>
      </w:pPr>
      <w:r>
        <w:rPr>
          <w:rFonts w:hint="default" w:ascii="Times New Roman" w:hAnsi="Times New Roman" w:eastAsia="黑体" w:cs="Times New Roman"/>
          <w:sz w:val="32"/>
          <w:szCs w:val="44"/>
          <w:lang w:val="en-US" w:eastAsia="zh-CN"/>
        </w:rPr>
        <w:t>密码应用安全性评估服务</w:t>
      </w:r>
      <w:r>
        <w:rPr>
          <w:rFonts w:hint="eastAsia" w:ascii="Times New Roman" w:hAnsi="Times New Roman" w:eastAsia="黑体" w:cs="Times New Roman"/>
          <w:sz w:val="32"/>
          <w:szCs w:val="44"/>
          <w:lang w:val="zh-CN"/>
        </w:rPr>
        <w:t>评分方法</w:t>
      </w:r>
    </w:p>
    <w:p w14:paraId="2BE67CFC">
      <w:pPr>
        <w:snapToGrid w:val="0"/>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采用综合评分法，</w:t>
      </w:r>
      <w:r>
        <w:rPr>
          <w:rFonts w:hint="eastAsia" w:ascii="方正仿宋_GBK" w:hAnsi="方正仿宋_GBK" w:eastAsia="方正仿宋_GBK" w:cs="方正仿宋_GBK"/>
          <w:sz w:val="28"/>
          <w:szCs w:val="28"/>
          <w:lang w:val="zh-CN"/>
        </w:rPr>
        <w:t>按照供应商</w:t>
      </w:r>
      <w:r>
        <w:rPr>
          <w:rFonts w:hint="eastAsia" w:ascii="方正仿宋_GBK" w:hAnsi="方正仿宋_GBK" w:eastAsia="方正仿宋_GBK" w:cs="方正仿宋_GBK"/>
          <w:sz w:val="28"/>
          <w:szCs w:val="28"/>
        </w:rPr>
        <w:t>提交的响应文件和最后报价进行综合评分。最终得分最高的为第一成交候选人，在分数相同的情况下由采购人代表现场抽签确定成交候选人，若第一成交候选人弃标的，由第二成交候选人成交，依次类推。</w:t>
      </w:r>
    </w:p>
    <w:tbl>
      <w:tblPr>
        <w:tblStyle w:val="15"/>
        <w:tblW w:w="933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441"/>
        <w:gridCol w:w="6355"/>
        <w:gridCol w:w="824"/>
      </w:tblGrid>
      <w:tr w14:paraId="187B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719" w:type="dxa"/>
            <w:shd w:val="clear" w:color="auto" w:fill="D7D7D7"/>
            <w:vAlign w:val="bottom"/>
          </w:tcPr>
          <w:p w14:paraId="230DC974">
            <w:pPr>
              <w:widowControl/>
              <w:spacing w:line="440" w:lineRule="exact"/>
              <w:jc w:val="center"/>
              <w:textAlignment w:val="bottom"/>
              <w:rPr>
                <w:rFonts w:ascii="方正仿宋_GBK" w:hAnsi="宋体" w:eastAsia="方正仿宋_GBK" w:cs="宋体"/>
                <w:b/>
                <w:bCs/>
                <w:color w:val="000000"/>
                <w:sz w:val="24"/>
                <w:szCs w:val="24"/>
              </w:rPr>
            </w:pPr>
            <w:bookmarkStart w:id="0" w:name="_Hlk183093665"/>
            <w:r>
              <w:rPr>
                <w:rFonts w:hint="eastAsia" w:ascii="方正仿宋_GBK" w:hAnsi="宋体" w:eastAsia="方正仿宋_GBK" w:cs="宋体"/>
                <w:b/>
                <w:bCs/>
                <w:color w:val="000000"/>
                <w:kern w:val="0"/>
                <w:sz w:val="24"/>
                <w:szCs w:val="24"/>
                <w:lang w:bidi="ar"/>
              </w:rPr>
              <w:t>序号</w:t>
            </w:r>
          </w:p>
        </w:tc>
        <w:tc>
          <w:tcPr>
            <w:tcW w:w="1441" w:type="dxa"/>
            <w:shd w:val="clear" w:color="auto" w:fill="D7D7D7"/>
            <w:vAlign w:val="bottom"/>
          </w:tcPr>
          <w:p w14:paraId="62F6331E">
            <w:pPr>
              <w:widowControl/>
              <w:spacing w:line="440" w:lineRule="exact"/>
              <w:jc w:val="center"/>
              <w:textAlignment w:val="bottom"/>
              <w:rPr>
                <w:rFonts w:ascii="方正仿宋_GBK" w:hAnsi="宋体" w:eastAsia="方正仿宋_GBK" w:cs="宋体"/>
                <w:b/>
                <w:bCs/>
                <w:color w:val="000000"/>
                <w:sz w:val="24"/>
                <w:szCs w:val="24"/>
              </w:rPr>
            </w:pPr>
            <w:r>
              <w:rPr>
                <w:rFonts w:hint="eastAsia" w:ascii="方正仿宋_GBK" w:hAnsi="宋体" w:eastAsia="方正仿宋_GBK" w:cs="宋体"/>
                <w:b/>
                <w:bCs/>
                <w:color w:val="000000"/>
                <w:kern w:val="0"/>
                <w:sz w:val="24"/>
                <w:szCs w:val="24"/>
                <w:lang w:bidi="ar"/>
              </w:rPr>
              <w:t>评审因素</w:t>
            </w:r>
          </w:p>
        </w:tc>
        <w:tc>
          <w:tcPr>
            <w:tcW w:w="6355" w:type="dxa"/>
            <w:shd w:val="clear" w:color="auto" w:fill="D7D7D7"/>
            <w:vAlign w:val="bottom"/>
          </w:tcPr>
          <w:p w14:paraId="1A13E6C9">
            <w:pPr>
              <w:widowControl/>
              <w:spacing w:line="440" w:lineRule="exact"/>
              <w:jc w:val="center"/>
              <w:textAlignment w:val="bottom"/>
              <w:rPr>
                <w:rFonts w:ascii="方正仿宋_GBK" w:hAnsi="宋体" w:eastAsia="方正仿宋_GBK" w:cs="宋体"/>
                <w:b/>
                <w:bCs/>
                <w:color w:val="000000"/>
                <w:sz w:val="24"/>
                <w:szCs w:val="24"/>
              </w:rPr>
            </w:pPr>
            <w:r>
              <w:rPr>
                <w:rFonts w:hint="eastAsia" w:ascii="方正仿宋_GBK" w:hAnsi="宋体" w:eastAsia="方正仿宋_GBK" w:cs="宋体"/>
                <w:b/>
                <w:bCs/>
                <w:color w:val="000000"/>
                <w:kern w:val="0"/>
                <w:sz w:val="24"/>
                <w:szCs w:val="24"/>
                <w:lang w:bidi="ar"/>
              </w:rPr>
              <w:t>评审细则</w:t>
            </w:r>
          </w:p>
        </w:tc>
        <w:tc>
          <w:tcPr>
            <w:tcW w:w="824" w:type="dxa"/>
            <w:shd w:val="clear" w:color="auto" w:fill="D7D7D7"/>
            <w:vAlign w:val="bottom"/>
          </w:tcPr>
          <w:p w14:paraId="08895B2E">
            <w:pPr>
              <w:widowControl/>
              <w:spacing w:line="440" w:lineRule="exact"/>
              <w:jc w:val="center"/>
              <w:textAlignment w:val="bottom"/>
              <w:rPr>
                <w:rFonts w:ascii="方正仿宋_GBK" w:hAnsi="宋体" w:eastAsia="方正仿宋_GBK" w:cs="宋体"/>
                <w:b/>
                <w:bCs/>
                <w:color w:val="000000"/>
                <w:sz w:val="24"/>
                <w:szCs w:val="24"/>
              </w:rPr>
            </w:pPr>
            <w:r>
              <w:rPr>
                <w:rFonts w:hint="eastAsia" w:ascii="方正仿宋_GBK" w:hAnsi="宋体" w:eastAsia="方正仿宋_GBK" w:cs="宋体"/>
                <w:b/>
                <w:bCs/>
                <w:color w:val="000000"/>
                <w:kern w:val="0"/>
                <w:sz w:val="24"/>
                <w:szCs w:val="24"/>
                <w:lang w:bidi="ar"/>
              </w:rPr>
              <w:t>分值</w:t>
            </w:r>
          </w:p>
        </w:tc>
      </w:tr>
      <w:tr w14:paraId="66C2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39" w:type="dxa"/>
            <w:gridSpan w:val="4"/>
            <w:vAlign w:val="bottom"/>
          </w:tcPr>
          <w:p w14:paraId="5A28B55A">
            <w:pPr>
              <w:widowControl/>
              <w:spacing w:line="440" w:lineRule="exact"/>
              <w:textAlignment w:val="bottom"/>
              <w:rPr>
                <w:rFonts w:ascii="方正仿宋_GBK" w:eastAsia="方正仿宋_GBK"/>
                <w:color w:val="000000"/>
                <w:sz w:val="24"/>
                <w:szCs w:val="24"/>
              </w:rPr>
            </w:pPr>
            <w:r>
              <w:rPr>
                <w:rFonts w:hint="eastAsia" w:ascii="方正仿宋_GBK" w:eastAsia="方正仿宋_GBK"/>
                <w:color w:val="000000"/>
                <w:kern w:val="0"/>
                <w:sz w:val="24"/>
                <w:szCs w:val="24"/>
                <w:lang w:bidi="ar"/>
              </w:rPr>
              <w:t>1.</w:t>
            </w:r>
            <w:r>
              <w:rPr>
                <w:rFonts w:hint="eastAsia" w:ascii="方正仿宋_GBK" w:hAnsi="宋体" w:eastAsia="方正仿宋_GBK" w:cs="宋体"/>
                <w:color w:val="000000"/>
                <w:kern w:val="0"/>
                <w:sz w:val="24"/>
                <w:szCs w:val="24"/>
                <w:lang w:bidi="ar"/>
              </w:rPr>
              <w:t>价格（</w:t>
            </w:r>
            <w:r>
              <w:rPr>
                <w:rFonts w:hint="eastAsia" w:ascii="方正仿宋_GBK" w:eastAsia="方正仿宋_GBK"/>
                <w:color w:val="000000"/>
                <w:kern w:val="0"/>
                <w:sz w:val="24"/>
                <w:szCs w:val="24"/>
                <w:lang w:bidi="ar"/>
              </w:rPr>
              <w:t>10</w:t>
            </w:r>
            <w:r>
              <w:rPr>
                <w:rFonts w:hint="eastAsia" w:ascii="方正仿宋_GBK" w:hAnsi="宋体" w:eastAsia="方正仿宋_GBK" w:cs="宋体"/>
                <w:color w:val="000000"/>
                <w:kern w:val="0"/>
                <w:sz w:val="24"/>
                <w:szCs w:val="24"/>
                <w:lang w:bidi="ar"/>
              </w:rPr>
              <w:t>分）</w:t>
            </w:r>
          </w:p>
        </w:tc>
      </w:tr>
      <w:tr w14:paraId="78BE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14:paraId="3F13742F">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1.1</w:t>
            </w:r>
          </w:p>
        </w:tc>
        <w:tc>
          <w:tcPr>
            <w:tcW w:w="1441" w:type="dxa"/>
            <w:vMerge w:val="restart"/>
            <w:vAlign w:val="center"/>
          </w:tcPr>
          <w:p w14:paraId="685D0038">
            <w:pPr>
              <w:widowControl/>
              <w:spacing w:line="440" w:lineRule="exact"/>
              <w:jc w:val="center"/>
              <w:textAlignment w:val="center"/>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价格</w:t>
            </w:r>
            <w:r>
              <w:rPr>
                <w:rFonts w:hint="eastAsia" w:ascii="方正仿宋_GBK" w:hAnsi="宋体" w:eastAsia="方正仿宋_GBK" w:cs="宋体"/>
                <w:color w:val="000000"/>
                <w:kern w:val="0"/>
                <w:sz w:val="24"/>
                <w:szCs w:val="24"/>
                <w:lang w:bidi="ar"/>
              </w:rPr>
              <w:br w:type="textWrapping"/>
            </w:r>
            <w:r>
              <w:rPr>
                <w:rFonts w:hint="eastAsia" w:ascii="方正仿宋_GBK" w:hAnsi="宋体" w:eastAsia="方正仿宋_GBK" w:cs="宋体"/>
                <w:color w:val="000000"/>
                <w:kern w:val="0"/>
                <w:sz w:val="24"/>
                <w:szCs w:val="24"/>
                <w:lang w:bidi="ar"/>
              </w:rPr>
              <w:t>（10分）</w:t>
            </w:r>
          </w:p>
        </w:tc>
        <w:tc>
          <w:tcPr>
            <w:tcW w:w="6355" w:type="dxa"/>
            <w:vMerge w:val="restart"/>
            <w:vAlign w:val="bottom"/>
          </w:tcPr>
          <w:p w14:paraId="613EE0A6">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采用低价优先法计算，即满足采购文件要求且投标价格最低的投标报价为评标基准价，其价格分为满分。其他供应商的价格分统一按照下列公式计算：投标报价得分=(评标基准价/投标报价)×10</w:t>
            </w:r>
          </w:p>
        </w:tc>
        <w:tc>
          <w:tcPr>
            <w:tcW w:w="824" w:type="dxa"/>
            <w:vMerge w:val="restart"/>
            <w:vAlign w:val="center"/>
          </w:tcPr>
          <w:p w14:paraId="443D24EF">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10</w:t>
            </w:r>
          </w:p>
        </w:tc>
      </w:tr>
      <w:tr w14:paraId="4B3A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19" w:type="dxa"/>
            <w:vMerge w:val="continue"/>
            <w:vAlign w:val="center"/>
          </w:tcPr>
          <w:p w14:paraId="4851F52E">
            <w:pPr>
              <w:spacing w:line="440" w:lineRule="exact"/>
              <w:jc w:val="center"/>
              <w:rPr>
                <w:rFonts w:ascii="方正仿宋_GBK" w:eastAsia="方正仿宋_GBK"/>
                <w:color w:val="000000"/>
                <w:sz w:val="24"/>
                <w:szCs w:val="24"/>
              </w:rPr>
            </w:pPr>
          </w:p>
        </w:tc>
        <w:tc>
          <w:tcPr>
            <w:tcW w:w="1441" w:type="dxa"/>
            <w:vMerge w:val="continue"/>
            <w:vAlign w:val="center"/>
          </w:tcPr>
          <w:p w14:paraId="0B37C39A">
            <w:pPr>
              <w:spacing w:line="440" w:lineRule="exact"/>
              <w:jc w:val="center"/>
              <w:rPr>
                <w:rFonts w:ascii="方正仿宋_GBK" w:hAnsi="宋体" w:eastAsia="方正仿宋_GBK" w:cs="宋体"/>
                <w:color w:val="000000"/>
                <w:sz w:val="24"/>
                <w:szCs w:val="24"/>
              </w:rPr>
            </w:pPr>
          </w:p>
        </w:tc>
        <w:tc>
          <w:tcPr>
            <w:tcW w:w="6355" w:type="dxa"/>
            <w:vMerge w:val="continue"/>
            <w:vAlign w:val="bottom"/>
          </w:tcPr>
          <w:p w14:paraId="75578EE8">
            <w:pPr>
              <w:spacing w:line="440" w:lineRule="exact"/>
              <w:rPr>
                <w:rFonts w:ascii="方正仿宋_GBK" w:hAnsi="宋体" w:eastAsia="方正仿宋_GBK" w:cs="宋体"/>
                <w:color w:val="000000"/>
                <w:sz w:val="24"/>
                <w:szCs w:val="24"/>
              </w:rPr>
            </w:pPr>
          </w:p>
        </w:tc>
        <w:tc>
          <w:tcPr>
            <w:tcW w:w="824" w:type="dxa"/>
            <w:vMerge w:val="continue"/>
            <w:vAlign w:val="center"/>
          </w:tcPr>
          <w:p w14:paraId="3B1261AD">
            <w:pPr>
              <w:spacing w:line="440" w:lineRule="exact"/>
              <w:jc w:val="center"/>
              <w:rPr>
                <w:rFonts w:ascii="方正仿宋_GBK" w:eastAsia="方正仿宋_GBK"/>
                <w:color w:val="000000"/>
                <w:sz w:val="24"/>
                <w:szCs w:val="24"/>
              </w:rPr>
            </w:pPr>
          </w:p>
        </w:tc>
      </w:tr>
      <w:tr w14:paraId="6352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39" w:type="dxa"/>
            <w:gridSpan w:val="4"/>
            <w:vAlign w:val="bottom"/>
          </w:tcPr>
          <w:p w14:paraId="0CF9B99C">
            <w:pPr>
              <w:widowControl/>
              <w:spacing w:line="440" w:lineRule="exact"/>
              <w:textAlignment w:val="bottom"/>
              <w:rPr>
                <w:rFonts w:ascii="方正仿宋_GBK" w:eastAsia="方正仿宋_GBK"/>
                <w:color w:val="000000"/>
                <w:sz w:val="24"/>
                <w:szCs w:val="24"/>
              </w:rPr>
            </w:pPr>
            <w:r>
              <w:rPr>
                <w:rFonts w:hint="eastAsia" w:ascii="方正仿宋_GBK" w:eastAsia="方正仿宋_GBK"/>
                <w:color w:val="000000"/>
                <w:kern w:val="0"/>
                <w:sz w:val="24"/>
                <w:szCs w:val="24"/>
                <w:lang w:bidi="ar"/>
              </w:rPr>
              <w:t>2.</w:t>
            </w:r>
            <w:r>
              <w:rPr>
                <w:rFonts w:hint="eastAsia" w:ascii="方正仿宋_GBK" w:hAnsi="宋体" w:eastAsia="方正仿宋_GBK" w:cs="宋体"/>
                <w:color w:val="000000"/>
                <w:kern w:val="0"/>
                <w:sz w:val="24"/>
                <w:szCs w:val="24"/>
                <w:lang w:bidi="ar"/>
              </w:rPr>
              <w:t>商务（</w:t>
            </w:r>
            <w:r>
              <w:rPr>
                <w:rFonts w:hint="eastAsia" w:ascii="方正仿宋_GBK" w:eastAsia="方正仿宋_GBK"/>
                <w:color w:val="000000"/>
                <w:kern w:val="0"/>
                <w:sz w:val="24"/>
                <w:szCs w:val="24"/>
                <w:lang w:bidi="ar"/>
              </w:rPr>
              <w:t>30</w:t>
            </w:r>
            <w:r>
              <w:rPr>
                <w:rFonts w:hint="eastAsia" w:ascii="方正仿宋_GBK" w:hAnsi="宋体" w:eastAsia="方正仿宋_GBK" w:cs="宋体"/>
                <w:color w:val="000000"/>
                <w:kern w:val="0"/>
                <w:sz w:val="24"/>
                <w:szCs w:val="24"/>
                <w:lang w:bidi="ar"/>
              </w:rPr>
              <w:t>分）</w:t>
            </w:r>
          </w:p>
        </w:tc>
      </w:tr>
      <w:tr w14:paraId="28D6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19" w:type="dxa"/>
            <w:vAlign w:val="center"/>
          </w:tcPr>
          <w:p w14:paraId="69D5258E">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2.1</w:t>
            </w:r>
          </w:p>
        </w:tc>
        <w:tc>
          <w:tcPr>
            <w:tcW w:w="1441" w:type="dxa"/>
            <w:tcBorders>
              <w:right w:val="single" w:color="auto" w:sz="4" w:space="0"/>
            </w:tcBorders>
            <w:vAlign w:val="center"/>
          </w:tcPr>
          <w:p w14:paraId="310EB831">
            <w:pPr>
              <w:widowControl/>
              <w:spacing w:line="440" w:lineRule="exact"/>
              <w:jc w:val="center"/>
              <w:textAlignment w:val="center"/>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履约能力（30分）</w:t>
            </w:r>
          </w:p>
        </w:tc>
        <w:tc>
          <w:tcPr>
            <w:tcW w:w="6355" w:type="dxa"/>
            <w:tcBorders>
              <w:top w:val="single" w:color="auto" w:sz="4" w:space="0"/>
              <w:left w:val="single" w:color="auto" w:sz="4" w:space="0"/>
              <w:bottom w:val="single" w:color="auto" w:sz="4" w:space="0"/>
              <w:right w:val="single" w:color="auto" w:sz="4" w:space="0"/>
            </w:tcBorders>
            <w:vAlign w:val="bottom"/>
          </w:tcPr>
          <w:p w14:paraId="1753765A">
            <w:pPr>
              <w:spacing w:line="440" w:lineRule="exact"/>
              <w:jc w:val="left"/>
              <w:rPr>
                <w:rFonts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val="en-US" w:eastAsia="zh-CN"/>
              </w:rPr>
              <w:t>1</w:t>
            </w:r>
            <w:r>
              <w:rPr>
                <w:rFonts w:hint="eastAsia" w:ascii="方正仿宋_GBK" w:eastAsia="方正仿宋_GBK"/>
                <w:sz w:val="24"/>
                <w:szCs w:val="24"/>
              </w:rPr>
              <w:t>）供应商具有有效期内的ISO9001质量管理体系认证证书（业务范围需明确包含：密码应用安全性评估和信息系统安全风险评估），得</w:t>
            </w:r>
            <w:r>
              <w:rPr>
                <w:rFonts w:hint="eastAsia" w:ascii="方正仿宋_GBK" w:eastAsia="方正仿宋_GBK"/>
                <w:sz w:val="24"/>
                <w:szCs w:val="24"/>
                <w:lang w:val="en-US" w:eastAsia="zh-CN"/>
              </w:rPr>
              <w:t>6</w:t>
            </w:r>
            <w:r>
              <w:rPr>
                <w:rFonts w:hint="eastAsia" w:ascii="方正仿宋_GBK" w:eastAsia="方正仿宋_GBK"/>
                <w:sz w:val="24"/>
                <w:szCs w:val="24"/>
              </w:rPr>
              <w:t>分。（提供证书复印件）</w:t>
            </w:r>
          </w:p>
          <w:p w14:paraId="77F025EC">
            <w:pPr>
              <w:spacing w:line="440" w:lineRule="exact"/>
              <w:jc w:val="left"/>
              <w:rPr>
                <w:rFonts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val="en-US" w:eastAsia="zh-CN"/>
              </w:rPr>
              <w:t>2</w:t>
            </w:r>
            <w:r>
              <w:rPr>
                <w:rFonts w:hint="eastAsia" w:ascii="方正仿宋_GBK" w:eastAsia="方正仿宋_GBK"/>
                <w:sz w:val="24"/>
                <w:szCs w:val="24"/>
              </w:rPr>
              <w:t>）供应商具有国家级检验检测机构资质认定证书（CMA证书），得</w:t>
            </w:r>
            <w:r>
              <w:rPr>
                <w:rFonts w:hint="eastAsia" w:ascii="方正仿宋_GBK" w:eastAsia="方正仿宋_GBK"/>
                <w:sz w:val="24"/>
                <w:szCs w:val="24"/>
                <w:lang w:val="en-US" w:eastAsia="zh-CN"/>
              </w:rPr>
              <w:t>6</w:t>
            </w:r>
            <w:r>
              <w:rPr>
                <w:rFonts w:hint="eastAsia" w:ascii="方正仿宋_GBK" w:eastAsia="方正仿宋_GBK"/>
                <w:sz w:val="24"/>
                <w:szCs w:val="24"/>
              </w:rPr>
              <w:t>分。（提供证书复印件）</w:t>
            </w:r>
          </w:p>
          <w:p w14:paraId="52EBB6A9">
            <w:pPr>
              <w:spacing w:line="440" w:lineRule="exact"/>
              <w:jc w:val="left"/>
              <w:rPr>
                <w:rFonts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val="en-US" w:eastAsia="zh-CN"/>
              </w:rPr>
              <w:t>3</w:t>
            </w:r>
            <w:r>
              <w:rPr>
                <w:rFonts w:hint="eastAsia" w:ascii="方正仿宋_GBK" w:eastAsia="方正仿宋_GBK"/>
                <w:sz w:val="24"/>
                <w:szCs w:val="24"/>
              </w:rPr>
              <w:t>）供应商具有中国合格评定认可委员会认可的检验机构和检测实验室资质（</w:t>
            </w:r>
            <w:r>
              <w:rPr>
                <w:rFonts w:hint="eastAsia" w:ascii="方正仿宋_GBK" w:hAnsi="宋体" w:eastAsia="方正仿宋_GBK" w:cs="宋体"/>
                <w:kern w:val="0"/>
                <w:sz w:val="24"/>
                <w:szCs w:val="24"/>
              </w:rPr>
              <w:t>检验能力范围需明确包含商用密码应用安全性评估和信息安全风险评估</w:t>
            </w:r>
            <w:r>
              <w:rPr>
                <w:rFonts w:hint="eastAsia" w:ascii="方正仿宋_GBK" w:eastAsia="方正仿宋_GBK"/>
                <w:sz w:val="24"/>
                <w:szCs w:val="24"/>
              </w:rPr>
              <w:t>），得</w:t>
            </w:r>
            <w:r>
              <w:rPr>
                <w:rFonts w:hint="eastAsia" w:ascii="方正仿宋_GBK" w:eastAsia="方正仿宋_GBK"/>
                <w:sz w:val="24"/>
                <w:szCs w:val="24"/>
                <w:lang w:val="en-US" w:eastAsia="zh-CN"/>
              </w:rPr>
              <w:t>6</w:t>
            </w:r>
            <w:r>
              <w:rPr>
                <w:rFonts w:hint="eastAsia" w:ascii="方正仿宋_GBK" w:eastAsia="方正仿宋_GBK"/>
                <w:sz w:val="24"/>
                <w:szCs w:val="24"/>
              </w:rPr>
              <w:t>分。（提供证书复印件）</w:t>
            </w:r>
          </w:p>
          <w:p w14:paraId="37CB48D6">
            <w:pPr>
              <w:spacing w:line="440" w:lineRule="exact"/>
              <w:jc w:val="left"/>
              <w:rPr>
                <w:rFonts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val="en-US" w:eastAsia="zh-CN"/>
              </w:rPr>
              <w:t>4</w:t>
            </w:r>
            <w:r>
              <w:rPr>
                <w:rFonts w:hint="eastAsia" w:ascii="方正仿宋_GBK" w:eastAsia="方正仿宋_GBK"/>
                <w:sz w:val="24"/>
                <w:szCs w:val="24"/>
              </w:rPr>
              <w:t>）供应商参与起草过信息安全、密码领域的国家标准制订工作的，得</w:t>
            </w:r>
            <w:r>
              <w:rPr>
                <w:rFonts w:hint="eastAsia" w:ascii="方正仿宋_GBK" w:eastAsia="方正仿宋_GBK"/>
                <w:sz w:val="24"/>
                <w:szCs w:val="24"/>
                <w:lang w:val="en-US" w:eastAsia="zh-CN"/>
              </w:rPr>
              <w:t>6</w:t>
            </w:r>
            <w:r>
              <w:rPr>
                <w:rFonts w:hint="eastAsia" w:ascii="方正仿宋_GBK" w:eastAsia="方正仿宋_GBK"/>
                <w:sz w:val="24"/>
                <w:szCs w:val="24"/>
              </w:rPr>
              <w:t>分。（该项需提供标准文件的封面和“前言”页面复印件并加盖公章，未提供不得分）</w:t>
            </w:r>
          </w:p>
          <w:p w14:paraId="0CB6129C">
            <w:pPr>
              <w:spacing w:line="440" w:lineRule="exact"/>
              <w:jc w:val="left"/>
              <w:rPr>
                <w:rFonts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val="en-US" w:eastAsia="zh-CN"/>
              </w:rPr>
              <w:t>5</w:t>
            </w:r>
            <w:r>
              <w:rPr>
                <w:rFonts w:hint="eastAsia" w:ascii="方正仿宋_GBK" w:eastAsia="方正仿宋_GBK"/>
                <w:sz w:val="24"/>
                <w:szCs w:val="24"/>
              </w:rPr>
              <w:t>）供应商提供服务所必需的合规的密码检测设备或工具，该设备或工具</w:t>
            </w:r>
            <w:r>
              <w:rPr>
                <w:rFonts w:hint="eastAsia" w:ascii="方正仿宋_GBK" w:hAnsi="宋体" w:eastAsia="方正仿宋_GBK" w:cs="宋体"/>
                <w:sz w:val="24"/>
                <w:szCs w:val="24"/>
              </w:rPr>
              <w:t>需经过国家密码局校准，并具有国家密码局商用密码检测中心颁发的《商用密码检测工具校准标识》</w:t>
            </w:r>
            <w:r>
              <w:rPr>
                <w:rFonts w:hint="eastAsia" w:ascii="方正仿宋_GBK" w:eastAsia="方正仿宋_GBK"/>
                <w:sz w:val="24"/>
                <w:szCs w:val="24"/>
              </w:rPr>
              <w:t>,得</w:t>
            </w:r>
            <w:r>
              <w:rPr>
                <w:rFonts w:hint="eastAsia" w:ascii="方正仿宋_GBK" w:eastAsia="方正仿宋_GBK"/>
                <w:sz w:val="24"/>
                <w:szCs w:val="24"/>
                <w:lang w:val="en-US" w:eastAsia="zh-CN"/>
              </w:rPr>
              <w:t>6</w:t>
            </w:r>
            <w:r>
              <w:rPr>
                <w:rFonts w:hint="eastAsia" w:ascii="方正仿宋_GBK" w:eastAsia="方正仿宋_GBK"/>
                <w:sz w:val="24"/>
                <w:szCs w:val="24"/>
              </w:rPr>
              <w:t>分，否则不得分。（该项需提供自有证明和校准标识复印件并加盖公章，未提供不得分）</w:t>
            </w:r>
          </w:p>
        </w:tc>
        <w:tc>
          <w:tcPr>
            <w:tcW w:w="824" w:type="dxa"/>
            <w:tcBorders>
              <w:left w:val="single" w:color="auto" w:sz="4" w:space="0"/>
            </w:tcBorders>
            <w:vAlign w:val="center"/>
          </w:tcPr>
          <w:p w14:paraId="3FF4AE7B">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30</w:t>
            </w:r>
          </w:p>
        </w:tc>
      </w:tr>
      <w:tr w14:paraId="21D0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39" w:type="dxa"/>
            <w:gridSpan w:val="4"/>
            <w:vAlign w:val="bottom"/>
          </w:tcPr>
          <w:p w14:paraId="49F6F2E0">
            <w:pPr>
              <w:widowControl/>
              <w:spacing w:line="440" w:lineRule="exact"/>
              <w:textAlignment w:val="bottom"/>
              <w:rPr>
                <w:rFonts w:ascii="方正仿宋_GBK" w:eastAsia="方正仿宋_GBK"/>
                <w:color w:val="000000"/>
                <w:sz w:val="24"/>
                <w:szCs w:val="24"/>
              </w:rPr>
            </w:pPr>
            <w:r>
              <w:rPr>
                <w:rFonts w:hint="eastAsia" w:ascii="方正仿宋_GBK" w:eastAsia="方正仿宋_GBK"/>
                <w:color w:val="000000"/>
                <w:kern w:val="0"/>
                <w:sz w:val="24"/>
                <w:szCs w:val="24"/>
                <w:lang w:bidi="ar"/>
              </w:rPr>
              <w:t>3.</w:t>
            </w:r>
            <w:r>
              <w:rPr>
                <w:rFonts w:hint="eastAsia" w:ascii="方正仿宋_GBK" w:hAnsi="宋体" w:eastAsia="方正仿宋_GBK" w:cs="宋体"/>
                <w:color w:val="000000"/>
                <w:kern w:val="0"/>
                <w:sz w:val="24"/>
                <w:szCs w:val="24"/>
                <w:lang w:bidi="ar"/>
              </w:rPr>
              <w:t>技术（</w:t>
            </w:r>
            <w:r>
              <w:rPr>
                <w:rFonts w:hint="eastAsia" w:ascii="方正仿宋_GBK" w:eastAsia="方正仿宋_GBK"/>
                <w:color w:val="000000"/>
                <w:kern w:val="0"/>
                <w:sz w:val="24"/>
                <w:szCs w:val="24"/>
                <w:lang w:bidi="ar"/>
              </w:rPr>
              <w:t>60</w:t>
            </w:r>
            <w:r>
              <w:rPr>
                <w:rFonts w:hint="eastAsia" w:ascii="方正仿宋_GBK" w:hAnsi="宋体" w:eastAsia="方正仿宋_GBK" w:cs="宋体"/>
                <w:color w:val="000000"/>
                <w:kern w:val="0"/>
                <w:sz w:val="24"/>
                <w:szCs w:val="24"/>
                <w:lang w:bidi="ar"/>
              </w:rPr>
              <w:t>分）</w:t>
            </w:r>
          </w:p>
        </w:tc>
      </w:tr>
      <w:tr w14:paraId="60A4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9" w:type="dxa"/>
            <w:vMerge w:val="restart"/>
            <w:vAlign w:val="center"/>
          </w:tcPr>
          <w:p w14:paraId="4F621C29">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3.1</w:t>
            </w:r>
          </w:p>
        </w:tc>
        <w:tc>
          <w:tcPr>
            <w:tcW w:w="1441" w:type="dxa"/>
            <w:vMerge w:val="restart"/>
            <w:tcBorders>
              <w:right w:val="single" w:color="auto" w:sz="4" w:space="0"/>
            </w:tcBorders>
            <w:vAlign w:val="center"/>
          </w:tcPr>
          <w:p w14:paraId="01DF3FCB">
            <w:pPr>
              <w:widowControl/>
              <w:spacing w:line="440" w:lineRule="exact"/>
              <w:jc w:val="center"/>
              <w:textAlignment w:val="center"/>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实施方案（</w:t>
            </w:r>
            <w:r>
              <w:rPr>
                <w:rFonts w:hint="eastAsia" w:ascii="方正仿宋_GBK" w:eastAsia="方正仿宋_GBK"/>
                <w:color w:val="000000"/>
                <w:kern w:val="0"/>
                <w:sz w:val="24"/>
                <w:szCs w:val="24"/>
                <w:lang w:bidi="ar"/>
              </w:rPr>
              <w:t>10</w:t>
            </w:r>
            <w:r>
              <w:rPr>
                <w:rFonts w:hint="eastAsia" w:ascii="方正仿宋_GBK" w:hAnsi="宋体" w:eastAsia="方正仿宋_GBK" w:cs="宋体"/>
                <w:color w:val="000000"/>
                <w:kern w:val="0"/>
                <w:sz w:val="24"/>
                <w:szCs w:val="24"/>
                <w:lang w:bidi="ar"/>
              </w:rPr>
              <w:t>分）</w:t>
            </w:r>
          </w:p>
        </w:tc>
        <w:tc>
          <w:tcPr>
            <w:tcW w:w="6355" w:type="dxa"/>
            <w:tcBorders>
              <w:top w:val="single" w:color="auto" w:sz="4" w:space="0"/>
              <w:left w:val="single" w:color="auto" w:sz="4" w:space="0"/>
              <w:bottom w:val="nil"/>
              <w:right w:val="single" w:color="auto" w:sz="4" w:space="0"/>
            </w:tcBorders>
            <w:vAlign w:val="bottom"/>
          </w:tcPr>
          <w:p w14:paraId="6C9EFBA0">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根据供应商提供的测评实施方案的完整性和合理性进行评分；</w:t>
            </w:r>
          </w:p>
        </w:tc>
        <w:tc>
          <w:tcPr>
            <w:tcW w:w="824" w:type="dxa"/>
            <w:vMerge w:val="restart"/>
            <w:tcBorders>
              <w:left w:val="single" w:color="auto" w:sz="4" w:space="0"/>
            </w:tcBorders>
            <w:vAlign w:val="center"/>
          </w:tcPr>
          <w:p w14:paraId="2A2821C3">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10</w:t>
            </w:r>
          </w:p>
        </w:tc>
      </w:tr>
      <w:tr w14:paraId="1095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19" w:type="dxa"/>
            <w:vMerge w:val="continue"/>
            <w:vAlign w:val="center"/>
          </w:tcPr>
          <w:p w14:paraId="1139950A">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69176C15">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single" w:color="auto" w:sz="4" w:space="0"/>
              <w:right w:val="single" w:color="auto" w:sz="4" w:space="0"/>
            </w:tcBorders>
            <w:vAlign w:val="bottom"/>
          </w:tcPr>
          <w:p w14:paraId="429A5E76">
            <w:pPr>
              <w:widowControl/>
              <w:spacing w:line="440" w:lineRule="exact"/>
              <w:textAlignment w:val="bottom"/>
              <w:rPr>
                <w:rFonts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方案合理，具备非常好的可行性得</w:t>
            </w:r>
            <w:r>
              <w:rPr>
                <w:rFonts w:hint="eastAsia" w:ascii="方正仿宋_GBK" w:eastAsia="方正仿宋_GBK"/>
                <w:color w:val="000000"/>
                <w:kern w:val="0"/>
                <w:sz w:val="24"/>
                <w:szCs w:val="24"/>
                <w:lang w:bidi="ar"/>
              </w:rPr>
              <w:t>10</w:t>
            </w:r>
            <w:r>
              <w:rPr>
                <w:rFonts w:hint="eastAsia" w:ascii="方正仿宋_GBK" w:hAnsi="宋体" w:eastAsia="方正仿宋_GBK" w:cs="宋体"/>
                <w:color w:val="000000"/>
                <w:kern w:val="0"/>
                <w:sz w:val="24"/>
                <w:szCs w:val="24"/>
                <w:lang w:bidi="ar"/>
              </w:rPr>
              <w:t>分；</w:t>
            </w:r>
          </w:p>
          <w:p w14:paraId="37269FDF">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方案一般，具备一般的可行性得</w:t>
            </w:r>
            <w:r>
              <w:rPr>
                <w:rFonts w:hint="eastAsia" w:ascii="方正仿宋_GBK" w:eastAsia="方正仿宋_GBK"/>
                <w:color w:val="000000"/>
                <w:kern w:val="0"/>
                <w:sz w:val="24"/>
                <w:szCs w:val="24"/>
                <w:lang w:bidi="ar"/>
              </w:rPr>
              <w:t>5</w:t>
            </w:r>
            <w:r>
              <w:rPr>
                <w:rFonts w:hint="eastAsia" w:ascii="方正仿宋_GBK" w:hAnsi="宋体" w:eastAsia="方正仿宋_GBK" w:cs="宋体"/>
                <w:color w:val="000000"/>
                <w:kern w:val="0"/>
                <w:sz w:val="24"/>
                <w:szCs w:val="24"/>
                <w:lang w:bidi="ar"/>
              </w:rPr>
              <w:t>分；</w:t>
            </w:r>
          </w:p>
          <w:p w14:paraId="5FD00108">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方案相关内容缺失，不具备可行性得</w:t>
            </w:r>
            <w:r>
              <w:rPr>
                <w:rFonts w:hint="eastAsia" w:ascii="方正仿宋_GBK" w:eastAsia="方正仿宋_GBK"/>
                <w:color w:val="000000"/>
                <w:kern w:val="0"/>
                <w:sz w:val="24"/>
                <w:szCs w:val="24"/>
                <w:lang w:bidi="ar"/>
              </w:rPr>
              <w:t>0</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49C473A3">
            <w:pPr>
              <w:spacing w:line="440" w:lineRule="exact"/>
              <w:jc w:val="center"/>
              <w:rPr>
                <w:rFonts w:ascii="方正仿宋_GBK" w:eastAsia="方正仿宋_GBK"/>
                <w:color w:val="000000"/>
                <w:sz w:val="24"/>
                <w:szCs w:val="24"/>
              </w:rPr>
            </w:pPr>
          </w:p>
        </w:tc>
      </w:tr>
      <w:tr w14:paraId="10DA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9" w:type="dxa"/>
            <w:vMerge w:val="restart"/>
            <w:tcBorders>
              <w:bottom w:val="nil"/>
            </w:tcBorders>
            <w:vAlign w:val="center"/>
          </w:tcPr>
          <w:p w14:paraId="3FED3068">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3.2</w:t>
            </w:r>
          </w:p>
        </w:tc>
        <w:tc>
          <w:tcPr>
            <w:tcW w:w="1441" w:type="dxa"/>
            <w:vMerge w:val="restart"/>
            <w:tcBorders>
              <w:bottom w:val="nil"/>
              <w:right w:val="single" w:color="auto" w:sz="4" w:space="0"/>
            </w:tcBorders>
            <w:vAlign w:val="center"/>
          </w:tcPr>
          <w:p w14:paraId="0966DF19">
            <w:pPr>
              <w:widowControl/>
              <w:spacing w:line="440" w:lineRule="exact"/>
              <w:jc w:val="center"/>
              <w:textAlignment w:val="center"/>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组织架构</w:t>
            </w:r>
            <w:r>
              <w:rPr>
                <w:rFonts w:hint="eastAsia" w:ascii="方正仿宋_GBK" w:eastAsia="方正仿宋_GBK"/>
                <w:color w:val="000000"/>
                <w:kern w:val="0"/>
                <w:sz w:val="24"/>
                <w:szCs w:val="24"/>
                <w:lang w:bidi="ar"/>
              </w:rPr>
              <w:t>(5</w:t>
            </w:r>
            <w:r>
              <w:rPr>
                <w:rFonts w:hint="eastAsia" w:ascii="方正仿宋_GBK" w:hAnsi="宋体" w:eastAsia="方正仿宋_GBK" w:cs="宋体"/>
                <w:color w:val="000000"/>
                <w:kern w:val="0"/>
                <w:sz w:val="24"/>
                <w:szCs w:val="24"/>
                <w:lang w:bidi="ar"/>
              </w:rPr>
              <w:t>分</w:t>
            </w:r>
            <w:r>
              <w:rPr>
                <w:rFonts w:hint="eastAsia" w:ascii="方正仿宋_GBK" w:eastAsia="方正仿宋_GBK"/>
                <w:color w:val="000000"/>
                <w:kern w:val="0"/>
                <w:sz w:val="24"/>
                <w:szCs w:val="24"/>
                <w:lang w:bidi="ar"/>
              </w:rPr>
              <w:t>)</w:t>
            </w:r>
          </w:p>
        </w:tc>
        <w:tc>
          <w:tcPr>
            <w:tcW w:w="6355" w:type="dxa"/>
            <w:tcBorders>
              <w:top w:val="single" w:color="auto" w:sz="4" w:space="0"/>
              <w:left w:val="single" w:color="auto" w:sz="4" w:space="0"/>
              <w:bottom w:val="nil"/>
              <w:right w:val="single" w:color="auto" w:sz="4" w:space="0"/>
            </w:tcBorders>
            <w:vAlign w:val="bottom"/>
          </w:tcPr>
          <w:p w14:paraId="4A898957">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根据供应商提供的服务组织架构的完整性和合理性进行评分；</w:t>
            </w:r>
          </w:p>
        </w:tc>
        <w:tc>
          <w:tcPr>
            <w:tcW w:w="824" w:type="dxa"/>
            <w:vMerge w:val="restart"/>
            <w:tcBorders>
              <w:left w:val="single" w:color="auto" w:sz="4" w:space="0"/>
              <w:bottom w:val="nil"/>
            </w:tcBorders>
            <w:vAlign w:val="center"/>
          </w:tcPr>
          <w:p w14:paraId="19669E7B">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5</w:t>
            </w:r>
          </w:p>
        </w:tc>
      </w:tr>
      <w:tr w14:paraId="7928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continue"/>
            <w:tcBorders>
              <w:top w:val="nil"/>
            </w:tcBorders>
            <w:vAlign w:val="center"/>
          </w:tcPr>
          <w:p w14:paraId="2E43F4ED">
            <w:pPr>
              <w:spacing w:line="440" w:lineRule="exact"/>
              <w:jc w:val="center"/>
              <w:rPr>
                <w:rFonts w:ascii="方正仿宋_GBK" w:eastAsia="方正仿宋_GBK"/>
                <w:color w:val="000000"/>
                <w:sz w:val="24"/>
                <w:szCs w:val="24"/>
              </w:rPr>
            </w:pPr>
          </w:p>
        </w:tc>
        <w:tc>
          <w:tcPr>
            <w:tcW w:w="1441" w:type="dxa"/>
            <w:vMerge w:val="continue"/>
            <w:tcBorders>
              <w:top w:val="nil"/>
              <w:right w:val="single" w:color="auto" w:sz="4" w:space="0"/>
            </w:tcBorders>
            <w:vAlign w:val="center"/>
          </w:tcPr>
          <w:p w14:paraId="0017EADD">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nil"/>
              <w:right w:val="single" w:color="auto" w:sz="4" w:space="0"/>
            </w:tcBorders>
            <w:vAlign w:val="bottom"/>
          </w:tcPr>
          <w:p w14:paraId="3099CDB1">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架构合理，具备非常好的可行性得</w:t>
            </w:r>
            <w:r>
              <w:rPr>
                <w:rFonts w:hint="eastAsia" w:ascii="方正仿宋_GBK" w:eastAsia="方正仿宋_GBK"/>
                <w:color w:val="000000"/>
                <w:kern w:val="0"/>
                <w:sz w:val="24"/>
                <w:szCs w:val="24"/>
                <w:lang w:bidi="ar"/>
              </w:rPr>
              <w:t>5</w:t>
            </w:r>
            <w:r>
              <w:rPr>
                <w:rFonts w:hint="eastAsia" w:ascii="方正仿宋_GBK" w:hAnsi="宋体" w:eastAsia="方正仿宋_GBK" w:cs="宋体"/>
                <w:color w:val="000000"/>
                <w:kern w:val="0"/>
                <w:sz w:val="24"/>
                <w:szCs w:val="24"/>
                <w:lang w:bidi="ar"/>
              </w:rPr>
              <w:t>分；</w:t>
            </w:r>
          </w:p>
        </w:tc>
        <w:tc>
          <w:tcPr>
            <w:tcW w:w="824" w:type="dxa"/>
            <w:vMerge w:val="continue"/>
            <w:tcBorders>
              <w:top w:val="nil"/>
              <w:left w:val="single" w:color="auto" w:sz="4" w:space="0"/>
            </w:tcBorders>
            <w:vAlign w:val="center"/>
          </w:tcPr>
          <w:p w14:paraId="1774DBFE">
            <w:pPr>
              <w:spacing w:line="440" w:lineRule="exact"/>
              <w:jc w:val="center"/>
              <w:rPr>
                <w:rFonts w:ascii="方正仿宋_GBK" w:eastAsia="方正仿宋_GBK"/>
                <w:color w:val="000000"/>
                <w:sz w:val="24"/>
                <w:szCs w:val="24"/>
              </w:rPr>
            </w:pPr>
          </w:p>
        </w:tc>
      </w:tr>
      <w:tr w14:paraId="2771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continue"/>
            <w:vAlign w:val="center"/>
          </w:tcPr>
          <w:p w14:paraId="1B3D7E73">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2128C930">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nil"/>
              <w:right w:val="single" w:color="auto" w:sz="4" w:space="0"/>
            </w:tcBorders>
            <w:vAlign w:val="bottom"/>
          </w:tcPr>
          <w:p w14:paraId="34BAEDE3">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架构一般，具备一般的可行性得</w:t>
            </w:r>
            <w:r>
              <w:rPr>
                <w:rFonts w:hint="eastAsia" w:ascii="方正仿宋_GBK" w:eastAsia="方正仿宋_GBK"/>
                <w:color w:val="000000"/>
                <w:kern w:val="0"/>
                <w:sz w:val="24"/>
                <w:szCs w:val="24"/>
                <w:lang w:bidi="ar"/>
              </w:rPr>
              <w:t>2</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0244E0D4">
            <w:pPr>
              <w:spacing w:line="440" w:lineRule="exact"/>
              <w:jc w:val="center"/>
              <w:rPr>
                <w:rFonts w:ascii="方正仿宋_GBK" w:eastAsia="方正仿宋_GBK"/>
                <w:color w:val="000000"/>
                <w:sz w:val="24"/>
                <w:szCs w:val="24"/>
              </w:rPr>
            </w:pPr>
          </w:p>
        </w:tc>
      </w:tr>
      <w:tr w14:paraId="4937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continue"/>
            <w:vAlign w:val="center"/>
          </w:tcPr>
          <w:p w14:paraId="573D37EB">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62971A4B">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single" w:color="auto" w:sz="4" w:space="0"/>
              <w:right w:val="single" w:color="auto" w:sz="4" w:space="0"/>
            </w:tcBorders>
            <w:vAlign w:val="bottom"/>
          </w:tcPr>
          <w:p w14:paraId="59D8ACF9">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架构相关内容缺失，不具备可行性得</w:t>
            </w:r>
            <w:r>
              <w:rPr>
                <w:rFonts w:hint="eastAsia" w:ascii="方正仿宋_GBK" w:eastAsia="方正仿宋_GBK"/>
                <w:color w:val="000000"/>
                <w:kern w:val="0"/>
                <w:sz w:val="24"/>
                <w:szCs w:val="24"/>
                <w:lang w:bidi="ar"/>
              </w:rPr>
              <w:t>0</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6870C4B7">
            <w:pPr>
              <w:spacing w:line="440" w:lineRule="exact"/>
              <w:jc w:val="center"/>
              <w:rPr>
                <w:rFonts w:ascii="方正仿宋_GBK" w:eastAsia="方正仿宋_GBK"/>
                <w:color w:val="000000"/>
                <w:sz w:val="24"/>
                <w:szCs w:val="24"/>
              </w:rPr>
            </w:pPr>
          </w:p>
        </w:tc>
      </w:tr>
      <w:tr w14:paraId="6AE2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9" w:type="dxa"/>
            <w:vMerge w:val="restart"/>
            <w:vAlign w:val="center"/>
          </w:tcPr>
          <w:p w14:paraId="736D2A27">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3.3</w:t>
            </w:r>
          </w:p>
        </w:tc>
        <w:tc>
          <w:tcPr>
            <w:tcW w:w="1441" w:type="dxa"/>
            <w:vMerge w:val="restart"/>
            <w:tcBorders>
              <w:right w:val="single" w:color="auto" w:sz="4" w:space="0"/>
            </w:tcBorders>
            <w:vAlign w:val="center"/>
          </w:tcPr>
          <w:p w14:paraId="3DF70D68">
            <w:pPr>
              <w:widowControl/>
              <w:spacing w:line="440" w:lineRule="exact"/>
              <w:jc w:val="center"/>
              <w:textAlignment w:val="center"/>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测评进度（</w:t>
            </w:r>
            <w:r>
              <w:rPr>
                <w:rFonts w:hint="eastAsia" w:ascii="方正仿宋_GBK" w:eastAsia="方正仿宋_GBK"/>
                <w:color w:val="000000"/>
                <w:kern w:val="0"/>
                <w:sz w:val="24"/>
                <w:szCs w:val="24"/>
                <w:lang w:bidi="ar"/>
              </w:rPr>
              <w:t>5</w:t>
            </w:r>
            <w:r>
              <w:rPr>
                <w:rFonts w:hint="eastAsia" w:ascii="方正仿宋_GBK" w:hAnsi="宋体" w:eastAsia="方正仿宋_GBK" w:cs="宋体"/>
                <w:color w:val="000000"/>
                <w:kern w:val="0"/>
                <w:sz w:val="24"/>
                <w:szCs w:val="24"/>
                <w:lang w:bidi="ar"/>
              </w:rPr>
              <w:t>分）</w:t>
            </w:r>
          </w:p>
        </w:tc>
        <w:tc>
          <w:tcPr>
            <w:tcW w:w="6355" w:type="dxa"/>
            <w:tcBorders>
              <w:top w:val="single" w:color="auto" w:sz="4" w:space="0"/>
              <w:left w:val="single" w:color="auto" w:sz="4" w:space="0"/>
              <w:bottom w:val="nil"/>
              <w:right w:val="single" w:color="auto" w:sz="4" w:space="0"/>
            </w:tcBorders>
            <w:vAlign w:val="bottom"/>
          </w:tcPr>
          <w:p w14:paraId="49CA36B5">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根据供应商提供的测评进度安排的完整性和合理性进行评分；</w:t>
            </w:r>
          </w:p>
        </w:tc>
        <w:tc>
          <w:tcPr>
            <w:tcW w:w="824" w:type="dxa"/>
            <w:vMerge w:val="restart"/>
            <w:tcBorders>
              <w:left w:val="single" w:color="auto" w:sz="4" w:space="0"/>
            </w:tcBorders>
            <w:vAlign w:val="center"/>
          </w:tcPr>
          <w:p w14:paraId="6DA1951E">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5</w:t>
            </w:r>
          </w:p>
        </w:tc>
      </w:tr>
      <w:tr w14:paraId="39FE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continue"/>
            <w:vAlign w:val="center"/>
          </w:tcPr>
          <w:p w14:paraId="11F424E7">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5E387AD2">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nil"/>
              <w:right w:val="single" w:color="auto" w:sz="4" w:space="0"/>
            </w:tcBorders>
            <w:vAlign w:val="bottom"/>
          </w:tcPr>
          <w:p w14:paraId="37CCC060">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安排合理，具备非常好的可行性得</w:t>
            </w:r>
            <w:r>
              <w:rPr>
                <w:rFonts w:hint="eastAsia" w:ascii="方正仿宋_GBK" w:eastAsia="方正仿宋_GBK"/>
                <w:color w:val="000000"/>
                <w:kern w:val="0"/>
                <w:sz w:val="24"/>
                <w:szCs w:val="24"/>
                <w:lang w:bidi="ar"/>
              </w:rPr>
              <w:t>5</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44FD06E7">
            <w:pPr>
              <w:spacing w:line="440" w:lineRule="exact"/>
              <w:jc w:val="center"/>
              <w:rPr>
                <w:rFonts w:ascii="方正仿宋_GBK" w:eastAsia="方正仿宋_GBK"/>
                <w:color w:val="000000"/>
                <w:sz w:val="24"/>
                <w:szCs w:val="24"/>
              </w:rPr>
            </w:pPr>
          </w:p>
        </w:tc>
      </w:tr>
      <w:tr w14:paraId="77F8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continue"/>
            <w:vAlign w:val="center"/>
          </w:tcPr>
          <w:p w14:paraId="7BFB54AF">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73ECBEBF">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nil"/>
              <w:right w:val="single" w:color="auto" w:sz="4" w:space="0"/>
            </w:tcBorders>
            <w:vAlign w:val="bottom"/>
          </w:tcPr>
          <w:p w14:paraId="5C5EAB48">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安排一般，具备一般的可行性得</w:t>
            </w:r>
            <w:r>
              <w:rPr>
                <w:rFonts w:hint="eastAsia" w:ascii="方正仿宋_GBK" w:eastAsia="方正仿宋_GBK"/>
                <w:color w:val="000000"/>
                <w:kern w:val="0"/>
                <w:sz w:val="24"/>
                <w:szCs w:val="24"/>
                <w:lang w:bidi="ar"/>
              </w:rPr>
              <w:t>2</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36DDD9C6">
            <w:pPr>
              <w:spacing w:line="440" w:lineRule="exact"/>
              <w:jc w:val="center"/>
              <w:rPr>
                <w:rFonts w:ascii="方正仿宋_GBK" w:eastAsia="方正仿宋_GBK"/>
                <w:color w:val="000000"/>
                <w:sz w:val="24"/>
                <w:szCs w:val="24"/>
              </w:rPr>
            </w:pPr>
          </w:p>
        </w:tc>
      </w:tr>
      <w:tr w14:paraId="6455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continue"/>
            <w:vAlign w:val="center"/>
          </w:tcPr>
          <w:p w14:paraId="0DC7A8DB">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3FA5804C">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single" w:color="auto" w:sz="4" w:space="0"/>
              <w:right w:val="single" w:color="auto" w:sz="4" w:space="0"/>
            </w:tcBorders>
            <w:vAlign w:val="bottom"/>
          </w:tcPr>
          <w:p w14:paraId="4B37B9ED">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安排相关内容缺失，不具备可行性得</w:t>
            </w:r>
            <w:r>
              <w:rPr>
                <w:rFonts w:hint="eastAsia" w:ascii="方正仿宋_GBK" w:eastAsia="方正仿宋_GBK"/>
                <w:color w:val="000000"/>
                <w:kern w:val="0"/>
                <w:sz w:val="24"/>
                <w:szCs w:val="24"/>
                <w:lang w:bidi="ar"/>
              </w:rPr>
              <w:t>0</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33E49C87">
            <w:pPr>
              <w:spacing w:line="440" w:lineRule="exact"/>
              <w:jc w:val="center"/>
              <w:rPr>
                <w:rFonts w:ascii="方正仿宋_GBK" w:eastAsia="方正仿宋_GBK"/>
                <w:color w:val="000000"/>
                <w:sz w:val="24"/>
                <w:szCs w:val="24"/>
              </w:rPr>
            </w:pPr>
          </w:p>
        </w:tc>
      </w:tr>
      <w:tr w14:paraId="159B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restart"/>
            <w:vAlign w:val="center"/>
          </w:tcPr>
          <w:p w14:paraId="490C0D51">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3.4</w:t>
            </w:r>
          </w:p>
        </w:tc>
        <w:tc>
          <w:tcPr>
            <w:tcW w:w="1441" w:type="dxa"/>
            <w:vMerge w:val="restart"/>
            <w:tcBorders>
              <w:right w:val="single" w:color="auto" w:sz="4" w:space="0"/>
            </w:tcBorders>
            <w:vAlign w:val="center"/>
          </w:tcPr>
          <w:p w14:paraId="6E67B43D">
            <w:pPr>
              <w:widowControl/>
              <w:spacing w:line="440" w:lineRule="exact"/>
              <w:jc w:val="center"/>
              <w:textAlignment w:val="center"/>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培训方案</w:t>
            </w:r>
            <w:r>
              <w:rPr>
                <w:rFonts w:hint="eastAsia" w:ascii="方正仿宋_GBK" w:eastAsia="方正仿宋_GBK"/>
                <w:color w:val="000000"/>
                <w:kern w:val="0"/>
                <w:sz w:val="24"/>
                <w:szCs w:val="24"/>
                <w:lang w:bidi="ar"/>
              </w:rPr>
              <w:t xml:space="preserve"> （5</w:t>
            </w:r>
            <w:r>
              <w:rPr>
                <w:rFonts w:hint="eastAsia" w:ascii="方正仿宋_GBK" w:hAnsi="宋体" w:eastAsia="方正仿宋_GBK" w:cs="宋体"/>
                <w:color w:val="000000"/>
                <w:kern w:val="0"/>
                <w:sz w:val="24"/>
                <w:szCs w:val="24"/>
                <w:lang w:bidi="ar"/>
              </w:rPr>
              <w:t>分）</w:t>
            </w:r>
          </w:p>
        </w:tc>
        <w:tc>
          <w:tcPr>
            <w:tcW w:w="6355" w:type="dxa"/>
            <w:tcBorders>
              <w:top w:val="single" w:color="auto" w:sz="4" w:space="0"/>
              <w:left w:val="single" w:color="auto" w:sz="4" w:space="0"/>
              <w:bottom w:val="nil"/>
              <w:right w:val="single" w:color="auto" w:sz="4" w:space="0"/>
            </w:tcBorders>
            <w:vAlign w:val="bottom"/>
          </w:tcPr>
          <w:p w14:paraId="1B7A83DF">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根据供应商提供的培训方案进行评分；</w:t>
            </w:r>
          </w:p>
        </w:tc>
        <w:tc>
          <w:tcPr>
            <w:tcW w:w="824" w:type="dxa"/>
            <w:vMerge w:val="restart"/>
            <w:tcBorders>
              <w:left w:val="single" w:color="auto" w:sz="4" w:space="0"/>
            </w:tcBorders>
            <w:vAlign w:val="center"/>
          </w:tcPr>
          <w:p w14:paraId="4621B14B">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5</w:t>
            </w:r>
          </w:p>
        </w:tc>
      </w:tr>
      <w:tr w14:paraId="656C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continue"/>
            <w:vAlign w:val="center"/>
          </w:tcPr>
          <w:p w14:paraId="03252B25">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43F4E3B0">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nil"/>
              <w:right w:val="single" w:color="auto" w:sz="4" w:space="0"/>
            </w:tcBorders>
            <w:vAlign w:val="bottom"/>
          </w:tcPr>
          <w:p w14:paraId="24CFA817">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方案合理，具备非常好的可行性得</w:t>
            </w:r>
            <w:r>
              <w:rPr>
                <w:rFonts w:hint="eastAsia" w:ascii="方正仿宋_GBK" w:eastAsia="方正仿宋_GBK"/>
                <w:color w:val="000000"/>
                <w:kern w:val="0"/>
                <w:sz w:val="24"/>
                <w:szCs w:val="24"/>
                <w:lang w:bidi="ar"/>
              </w:rPr>
              <w:t>5</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4D7039F8">
            <w:pPr>
              <w:spacing w:line="440" w:lineRule="exact"/>
              <w:jc w:val="center"/>
              <w:rPr>
                <w:rFonts w:ascii="方正仿宋_GBK" w:eastAsia="方正仿宋_GBK"/>
                <w:color w:val="000000"/>
                <w:sz w:val="24"/>
                <w:szCs w:val="24"/>
              </w:rPr>
            </w:pPr>
          </w:p>
        </w:tc>
      </w:tr>
      <w:tr w14:paraId="4FCF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continue"/>
            <w:vAlign w:val="center"/>
          </w:tcPr>
          <w:p w14:paraId="1838CC67">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5606499C">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nil"/>
              <w:right w:val="single" w:color="auto" w:sz="4" w:space="0"/>
            </w:tcBorders>
            <w:vAlign w:val="bottom"/>
          </w:tcPr>
          <w:p w14:paraId="4A42B65F">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方案一般，具备一般的可行性得</w:t>
            </w:r>
            <w:r>
              <w:rPr>
                <w:rFonts w:hint="eastAsia" w:ascii="方正仿宋_GBK" w:eastAsia="方正仿宋_GBK"/>
                <w:color w:val="000000"/>
                <w:kern w:val="0"/>
                <w:sz w:val="24"/>
                <w:szCs w:val="24"/>
                <w:lang w:bidi="ar"/>
              </w:rPr>
              <w:t>2</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7C5B2609">
            <w:pPr>
              <w:spacing w:line="440" w:lineRule="exact"/>
              <w:jc w:val="center"/>
              <w:rPr>
                <w:rFonts w:ascii="方正仿宋_GBK" w:eastAsia="方正仿宋_GBK"/>
                <w:color w:val="000000"/>
                <w:sz w:val="24"/>
                <w:szCs w:val="24"/>
              </w:rPr>
            </w:pPr>
          </w:p>
        </w:tc>
      </w:tr>
      <w:tr w14:paraId="082E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9" w:type="dxa"/>
            <w:vMerge w:val="continue"/>
            <w:vAlign w:val="center"/>
          </w:tcPr>
          <w:p w14:paraId="59B4187F">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6D1C9A7F">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single" w:color="auto" w:sz="4" w:space="0"/>
              <w:right w:val="single" w:color="auto" w:sz="4" w:space="0"/>
            </w:tcBorders>
            <w:vAlign w:val="bottom"/>
          </w:tcPr>
          <w:p w14:paraId="7D5FFC95">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方案相关内容缺失，不具备可行性得</w:t>
            </w:r>
            <w:r>
              <w:rPr>
                <w:rFonts w:hint="eastAsia" w:ascii="方正仿宋_GBK" w:eastAsia="方正仿宋_GBK"/>
                <w:color w:val="000000"/>
                <w:kern w:val="0"/>
                <w:sz w:val="24"/>
                <w:szCs w:val="24"/>
                <w:lang w:bidi="ar"/>
              </w:rPr>
              <w:t>0</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6669E978">
            <w:pPr>
              <w:spacing w:line="440" w:lineRule="exact"/>
              <w:jc w:val="center"/>
              <w:rPr>
                <w:rFonts w:ascii="方正仿宋_GBK" w:eastAsia="方正仿宋_GBK"/>
                <w:color w:val="000000"/>
                <w:sz w:val="24"/>
                <w:szCs w:val="24"/>
              </w:rPr>
            </w:pPr>
          </w:p>
        </w:tc>
      </w:tr>
      <w:tr w14:paraId="592B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9" w:type="dxa"/>
            <w:vMerge w:val="restart"/>
            <w:vAlign w:val="center"/>
          </w:tcPr>
          <w:p w14:paraId="7F90C724">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3.5</w:t>
            </w:r>
          </w:p>
        </w:tc>
        <w:tc>
          <w:tcPr>
            <w:tcW w:w="1441" w:type="dxa"/>
            <w:vMerge w:val="restart"/>
            <w:tcBorders>
              <w:right w:val="single" w:color="auto" w:sz="4" w:space="0"/>
            </w:tcBorders>
            <w:vAlign w:val="center"/>
          </w:tcPr>
          <w:p w14:paraId="7034A7E3">
            <w:pPr>
              <w:widowControl/>
              <w:spacing w:line="440" w:lineRule="exact"/>
              <w:jc w:val="center"/>
              <w:textAlignment w:val="center"/>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售后服务方案（</w:t>
            </w:r>
            <w:r>
              <w:rPr>
                <w:rFonts w:hint="eastAsia" w:ascii="方正仿宋_GBK" w:eastAsia="方正仿宋_GBK"/>
                <w:color w:val="000000"/>
                <w:kern w:val="0"/>
                <w:sz w:val="24"/>
                <w:szCs w:val="24"/>
                <w:lang w:bidi="ar"/>
              </w:rPr>
              <w:t>5</w:t>
            </w:r>
            <w:r>
              <w:rPr>
                <w:rFonts w:hint="eastAsia" w:ascii="方正仿宋_GBK" w:hAnsi="宋体" w:eastAsia="方正仿宋_GBK" w:cs="宋体"/>
                <w:color w:val="000000"/>
                <w:kern w:val="0"/>
                <w:sz w:val="24"/>
                <w:szCs w:val="24"/>
                <w:lang w:bidi="ar"/>
              </w:rPr>
              <w:t>分）</w:t>
            </w:r>
          </w:p>
        </w:tc>
        <w:tc>
          <w:tcPr>
            <w:tcW w:w="6355" w:type="dxa"/>
            <w:tcBorders>
              <w:top w:val="single" w:color="auto" w:sz="4" w:space="0"/>
              <w:left w:val="single" w:color="auto" w:sz="4" w:space="0"/>
              <w:bottom w:val="nil"/>
              <w:right w:val="single" w:color="auto" w:sz="4" w:space="0"/>
            </w:tcBorders>
            <w:vAlign w:val="bottom"/>
          </w:tcPr>
          <w:p w14:paraId="2F199A64">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售后服务方案全面合理，服务流程及内容具体，响应时间迅速，服务人员齐备，得</w:t>
            </w:r>
            <w:r>
              <w:rPr>
                <w:rFonts w:hint="eastAsia" w:ascii="方正仿宋_GBK" w:eastAsia="方正仿宋_GBK"/>
                <w:color w:val="000000"/>
                <w:kern w:val="0"/>
                <w:sz w:val="24"/>
                <w:szCs w:val="24"/>
                <w:lang w:bidi="ar"/>
              </w:rPr>
              <w:t>5</w:t>
            </w:r>
            <w:r>
              <w:rPr>
                <w:rFonts w:hint="eastAsia" w:ascii="方正仿宋_GBK" w:hAnsi="宋体" w:eastAsia="方正仿宋_GBK" w:cs="宋体"/>
                <w:color w:val="000000"/>
                <w:kern w:val="0"/>
                <w:sz w:val="24"/>
                <w:szCs w:val="24"/>
                <w:lang w:bidi="ar"/>
              </w:rPr>
              <w:t>分。</w:t>
            </w:r>
          </w:p>
        </w:tc>
        <w:tc>
          <w:tcPr>
            <w:tcW w:w="824" w:type="dxa"/>
            <w:vMerge w:val="restart"/>
            <w:tcBorders>
              <w:left w:val="single" w:color="auto" w:sz="4" w:space="0"/>
            </w:tcBorders>
            <w:vAlign w:val="center"/>
          </w:tcPr>
          <w:p w14:paraId="0444A99A">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5</w:t>
            </w:r>
          </w:p>
        </w:tc>
      </w:tr>
      <w:tr w14:paraId="1272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9" w:type="dxa"/>
            <w:vMerge w:val="continue"/>
            <w:vAlign w:val="center"/>
          </w:tcPr>
          <w:p w14:paraId="6679B23E">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65B7E9B6">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nil"/>
              <w:right w:val="single" w:color="auto" w:sz="4" w:space="0"/>
            </w:tcBorders>
            <w:vAlign w:val="bottom"/>
          </w:tcPr>
          <w:p w14:paraId="5B8DC840">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售后服务方案较全面，有基本服务流程及内容，响应时间较为迅速，服务人员匹配基本满足需求，得</w:t>
            </w:r>
            <w:r>
              <w:rPr>
                <w:rFonts w:hint="eastAsia" w:ascii="方正仿宋_GBK" w:eastAsia="方正仿宋_GBK"/>
                <w:color w:val="000000"/>
                <w:kern w:val="0"/>
                <w:sz w:val="24"/>
                <w:szCs w:val="24"/>
                <w:lang w:bidi="ar"/>
              </w:rPr>
              <w:t>2</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694836FC">
            <w:pPr>
              <w:spacing w:line="440" w:lineRule="exact"/>
              <w:jc w:val="center"/>
              <w:rPr>
                <w:rFonts w:ascii="方正仿宋_GBK" w:eastAsia="方正仿宋_GBK"/>
                <w:color w:val="000000"/>
                <w:sz w:val="24"/>
                <w:szCs w:val="24"/>
              </w:rPr>
            </w:pPr>
          </w:p>
        </w:tc>
      </w:tr>
      <w:tr w14:paraId="3A8A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9" w:type="dxa"/>
            <w:vMerge w:val="continue"/>
            <w:vAlign w:val="center"/>
          </w:tcPr>
          <w:p w14:paraId="44DE454F">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1E15B1F5">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single" w:color="auto" w:sz="4" w:space="0"/>
              <w:right w:val="single" w:color="auto" w:sz="4" w:space="0"/>
            </w:tcBorders>
            <w:vAlign w:val="bottom"/>
          </w:tcPr>
          <w:p w14:paraId="4158B7B4">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售后服务方案较片面，服务流程及内容空洞或欠缺，响应时间缓慢，服务人员匹配欠缺，得</w:t>
            </w:r>
            <w:r>
              <w:rPr>
                <w:rFonts w:hint="eastAsia" w:ascii="方正仿宋_GBK" w:eastAsia="方正仿宋_GBK"/>
                <w:color w:val="000000"/>
                <w:kern w:val="0"/>
                <w:sz w:val="24"/>
                <w:szCs w:val="24"/>
                <w:lang w:bidi="ar"/>
              </w:rPr>
              <w:t>0</w:t>
            </w:r>
            <w:r>
              <w:rPr>
                <w:rFonts w:hint="eastAsia" w:ascii="方正仿宋_GBK" w:hAnsi="宋体" w:eastAsia="方正仿宋_GBK" w:cs="宋体"/>
                <w:color w:val="000000"/>
                <w:kern w:val="0"/>
                <w:sz w:val="24"/>
                <w:szCs w:val="24"/>
                <w:lang w:bidi="ar"/>
              </w:rPr>
              <w:t>分。</w:t>
            </w:r>
          </w:p>
        </w:tc>
        <w:tc>
          <w:tcPr>
            <w:tcW w:w="824" w:type="dxa"/>
            <w:vMerge w:val="continue"/>
            <w:tcBorders>
              <w:left w:val="single" w:color="auto" w:sz="4" w:space="0"/>
            </w:tcBorders>
            <w:vAlign w:val="center"/>
          </w:tcPr>
          <w:p w14:paraId="038C5AF9">
            <w:pPr>
              <w:spacing w:line="440" w:lineRule="exact"/>
              <w:jc w:val="center"/>
              <w:rPr>
                <w:rFonts w:ascii="方正仿宋_GBK" w:eastAsia="方正仿宋_GBK"/>
                <w:color w:val="000000"/>
                <w:sz w:val="24"/>
                <w:szCs w:val="24"/>
              </w:rPr>
            </w:pPr>
          </w:p>
        </w:tc>
      </w:tr>
      <w:tr w14:paraId="4514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19" w:type="dxa"/>
            <w:vMerge w:val="restart"/>
            <w:vAlign w:val="center"/>
          </w:tcPr>
          <w:p w14:paraId="7486D99C">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3.6</w:t>
            </w:r>
          </w:p>
        </w:tc>
        <w:tc>
          <w:tcPr>
            <w:tcW w:w="1441" w:type="dxa"/>
            <w:vMerge w:val="restart"/>
            <w:tcBorders>
              <w:right w:val="single" w:color="auto" w:sz="4" w:space="0"/>
            </w:tcBorders>
            <w:vAlign w:val="center"/>
          </w:tcPr>
          <w:p w14:paraId="74571D38">
            <w:pPr>
              <w:widowControl/>
              <w:spacing w:line="440" w:lineRule="exact"/>
              <w:jc w:val="center"/>
              <w:textAlignment w:val="center"/>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团队服务能力</w:t>
            </w:r>
            <w:r>
              <w:rPr>
                <w:rFonts w:hint="eastAsia" w:ascii="方正仿宋_GBK" w:hAnsi="宋体" w:eastAsia="方正仿宋_GBK" w:cs="宋体"/>
                <w:color w:val="000000"/>
                <w:kern w:val="0"/>
                <w:sz w:val="24"/>
                <w:szCs w:val="24"/>
                <w:lang w:bidi="ar"/>
              </w:rPr>
              <w:br w:type="textWrapping"/>
            </w:r>
            <w:r>
              <w:rPr>
                <w:rFonts w:hint="eastAsia" w:ascii="方正仿宋_GBK" w:hAnsi="宋体" w:eastAsia="方正仿宋_GBK" w:cs="宋体"/>
                <w:color w:val="000000"/>
                <w:kern w:val="0"/>
                <w:sz w:val="24"/>
                <w:szCs w:val="24"/>
                <w:lang w:bidi="ar"/>
              </w:rPr>
              <w:t>（27分）</w:t>
            </w:r>
          </w:p>
        </w:tc>
        <w:tc>
          <w:tcPr>
            <w:tcW w:w="6355" w:type="dxa"/>
            <w:tcBorders>
              <w:top w:val="single" w:color="auto" w:sz="4" w:space="0"/>
              <w:left w:val="single" w:color="auto" w:sz="4" w:space="0"/>
              <w:bottom w:val="nil"/>
              <w:right w:val="single" w:color="auto" w:sz="4" w:space="0"/>
            </w:tcBorders>
            <w:vAlign w:val="bottom"/>
          </w:tcPr>
          <w:p w14:paraId="4D08EEBF">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项目负责人（唯一）：</w:t>
            </w:r>
          </w:p>
        </w:tc>
        <w:tc>
          <w:tcPr>
            <w:tcW w:w="824" w:type="dxa"/>
            <w:vMerge w:val="restart"/>
            <w:tcBorders>
              <w:left w:val="single" w:color="auto" w:sz="4" w:space="0"/>
            </w:tcBorders>
            <w:vAlign w:val="center"/>
          </w:tcPr>
          <w:p w14:paraId="6ABBE389">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15</w:t>
            </w:r>
          </w:p>
        </w:tc>
      </w:tr>
      <w:tr w14:paraId="24F9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19" w:type="dxa"/>
            <w:vMerge w:val="continue"/>
            <w:vAlign w:val="center"/>
          </w:tcPr>
          <w:p w14:paraId="4E5EAC78">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210B581B">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single" w:color="auto" w:sz="4" w:space="0"/>
              <w:right w:val="single" w:color="auto" w:sz="4" w:space="0"/>
            </w:tcBorders>
            <w:vAlign w:val="bottom"/>
          </w:tcPr>
          <w:p w14:paraId="4B3FB57C">
            <w:pPr>
              <w:widowControl/>
              <w:spacing w:line="440" w:lineRule="exact"/>
              <w:textAlignment w:val="bottom"/>
              <w:rPr>
                <w:rFonts w:ascii="方正仿宋_GBK" w:hAnsi="宋体" w:eastAsia="方正仿宋_GBK" w:cs="宋体"/>
                <w:color w:val="000000"/>
                <w:sz w:val="24"/>
                <w:szCs w:val="24"/>
              </w:rPr>
            </w:pPr>
            <w:r>
              <w:rPr>
                <w:rFonts w:hint="eastAsia" w:ascii="方正仿宋_GBK" w:eastAsia="方正仿宋_GBK"/>
                <w:sz w:val="24"/>
                <w:szCs w:val="24"/>
              </w:rPr>
              <w:t>（1）在国家密码管理局组织的商用密码应用安全性评估人员测评能力考核中，成绩在80分（含）以上的得3分，成绩在70分（含）以上得1分；</w:t>
            </w:r>
          </w:p>
          <w:p w14:paraId="6622404B">
            <w:pPr>
              <w:widowControl/>
              <w:spacing w:line="440" w:lineRule="exact"/>
              <w:textAlignment w:val="bottom"/>
              <w:rPr>
                <w:rFonts w:ascii="方正仿宋_GBK" w:hAnsi="宋体" w:eastAsia="方正仿宋_GBK" w:cs="宋体"/>
                <w:color w:val="000000"/>
                <w:sz w:val="24"/>
                <w:szCs w:val="24"/>
              </w:rPr>
            </w:pPr>
            <w:r>
              <w:rPr>
                <w:rFonts w:hint="eastAsia" w:ascii="方正仿宋_GBK" w:eastAsia="方正仿宋_GBK"/>
                <w:sz w:val="24"/>
                <w:szCs w:val="24"/>
              </w:rPr>
              <w:t>（2）具有电子信息工程专业领域副高级（含）以上的职称，得3分；</w:t>
            </w:r>
          </w:p>
          <w:p w14:paraId="4B096CD0">
            <w:pPr>
              <w:widowControl/>
              <w:spacing w:line="440" w:lineRule="exact"/>
              <w:textAlignment w:val="bottom"/>
              <w:rPr>
                <w:rFonts w:ascii="方正仿宋_GBK" w:hAnsi="宋体" w:eastAsia="方正仿宋_GBK" w:cs="宋体"/>
                <w:color w:val="000000"/>
                <w:sz w:val="24"/>
                <w:szCs w:val="24"/>
              </w:rPr>
            </w:pPr>
            <w:r>
              <w:rPr>
                <w:rFonts w:hint="eastAsia" w:ascii="方正仿宋_GBK" w:eastAsia="方正仿宋_GBK"/>
                <w:sz w:val="24"/>
                <w:szCs w:val="24"/>
              </w:rPr>
              <w:t xml:space="preserve">（3）具有网络安全能力认证（CCSC）/风险管理信息安全保障人员认证证书（CISAW）/数据安全评估师（CCRC-DSA）等证书，无CCSC证书该项不得分，上述条件每具备一项得3分，最高得9分； </w:t>
            </w:r>
          </w:p>
          <w:p w14:paraId="43A05329">
            <w:pPr>
              <w:widowControl/>
              <w:spacing w:line="440" w:lineRule="exact"/>
              <w:textAlignment w:val="bottom"/>
              <w:rPr>
                <w:rFonts w:ascii="方正仿宋_GBK" w:hAnsi="宋体" w:eastAsia="方正仿宋_GBK" w:cs="宋体"/>
                <w:color w:val="000000"/>
                <w:sz w:val="24"/>
                <w:szCs w:val="24"/>
              </w:rPr>
            </w:pPr>
            <w:r>
              <w:rPr>
                <w:rFonts w:hint="eastAsia" w:ascii="方正仿宋_GBK" w:eastAsia="方正仿宋_GBK"/>
                <w:sz w:val="24"/>
                <w:szCs w:val="24"/>
              </w:rPr>
              <w:t>（提供测评能力考核成绩单、证书复印件及近六个月为其缴纳社保证明材料复印件，否则不得分）</w:t>
            </w:r>
          </w:p>
        </w:tc>
        <w:tc>
          <w:tcPr>
            <w:tcW w:w="824" w:type="dxa"/>
            <w:vMerge w:val="continue"/>
            <w:tcBorders>
              <w:left w:val="single" w:color="auto" w:sz="4" w:space="0"/>
            </w:tcBorders>
            <w:vAlign w:val="center"/>
          </w:tcPr>
          <w:p w14:paraId="78A31F70">
            <w:pPr>
              <w:spacing w:line="440" w:lineRule="exact"/>
              <w:jc w:val="center"/>
              <w:rPr>
                <w:rFonts w:ascii="方正仿宋_GBK" w:eastAsia="方正仿宋_GBK"/>
                <w:color w:val="000000"/>
                <w:sz w:val="24"/>
                <w:szCs w:val="24"/>
              </w:rPr>
            </w:pPr>
          </w:p>
        </w:tc>
      </w:tr>
      <w:tr w14:paraId="67E1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19" w:type="dxa"/>
            <w:vMerge w:val="continue"/>
            <w:vAlign w:val="center"/>
          </w:tcPr>
          <w:p w14:paraId="6FE57BFE">
            <w:pPr>
              <w:spacing w:line="440" w:lineRule="exact"/>
              <w:jc w:val="center"/>
              <w:rPr>
                <w:rFonts w:ascii="方正仿宋_GBK" w:eastAsia="方正仿宋_GBK"/>
                <w:color w:val="000000"/>
                <w:sz w:val="24"/>
                <w:szCs w:val="24"/>
              </w:rPr>
            </w:pPr>
          </w:p>
        </w:tc>
        <w:tc>
          <w:tcPr>
            <w:tcW w:w="1441" w:type="dxa"/>
            <w:vMerge w:val="continue"/>
            <w:tcBorders>
              <w:right w:val="single" w:color="auto" w:sz="4" w:space="0"/>
            </w:tcBorders>
            <w:vAlign w:val="center"/>
          </w:tcPr>
          <w:p w14:paraId="51D2A028">
            <w:pPr>
              <w:spacing w:line="440" w:lineRule="exact"/>
              <w:jc w:val="center"/>
              <w:rPr>
                <w:rFonts w:ascii="方正仿宋_GBK" w:hAnsi="宋体" w:eastAsia="方正仿宋_GBK" w:cs="宋体"/>
                <w:color w:val="000000"/>
                <w:sz w:val="24"/>
                <w:szCs w:val="24"/>
              </w:rPr>
            </w:pPr>
          </w:p>
        </w:tc>
        <w:tc>
          <w:tcPr>
            <w:tcW w:w="6355" w:type="dxa"/>
            <w:tcBorders>
              <w:top w:val="nil"/>
              <w:left w:val="single" w:color="auto" w:sz="4" w:space="0"/>
              <w:bottom w:val="single" w:color="auto" w:sz="4" w:space="0"/>
              <w:right w:val="single" w:color="auto" w:sz="4" w:space="0"/>
            </w:tcBorders>
            <w:vAlign w:val="bottom"/>
          </w:tcPr>
          <w:p w14:paraId="1856F321">
            <w:pPr>
              <w:widowControl/>
              <w:spacing w:line="440" w:lineRule="exact"/>
              <w:textAlignment w:val="bottom"/>
              <w:rPr>
                <w:rFonts w:ascii="方正仿宋_GBK" w:hAnsi="宋体" w:eastAsia="方正仿宋_GBK" w:cs="宋体"/>
                <w:color w:val="000000"/>
                <w:kern w:val="0"/>
                <w:sz w:val="24"/>
                <w:szCs w:val="24"/>
                <w:lang w:bidi="ar"/>
              </w:rPr>
            </w:pPr>
            <w:r>
              <w:rPr>
                <w:rFonts w:hint="eastAsia" w:ascii="方正仿宋_GBK" w:eastAsia="方正仿宋_GBK"/>
                <w:sz w:val="24"/>
                <w:szCs w:val="24"/>
              </w:rPr>
              <w:t>在通过国家密码管理局组织的商用密码应用安全性评估人员测评能力考核的基础上（须提供能力考核通过证书扫描件），具有下列相应证书的：</w:t>
            </w:r>
          </w:p>
          <w:p w14:paraId="5AB9EF3C">
            <w:pPr>
              <w:widowControl/>
              <w:spacing w:line="440" w:lineRule="exact"/>
              <w:textAlignment w:val="bottom"/>
              <w:rPr>
                <w:rFonts w:ascii="方正仿宋_GBK" w:eastAsia="方正仿宋_GBK"/>
                <w:sz w:val="24"/>
                <w:szCs w:val="24"/>
              </w:rPr>
            </w:pPr>
            <w:r>
              <w:rPr>
                <w:rFonts w:hint="eastAsia" w:ascii="方正仿宋_GBK" w:eastAsia="方正仿宋_GBK"/>
                <w:sz w:val="24"/>
                <w:szCs w:val="24"/>
              </w:rPr>
              <w:t>（1）具有电子信息工程领域副高级（含）以上职称的，有1人得2分，最高得8分；</w:t>
            </w:r>
          </w:p>
          <w:p w14:paraId="2A1BBE1E">
            <w:pPr>
              <w:pStyle w:val="4"/>
              <w:spacing w:line="440" w:lineRule="exact"/>
              <w:rPr>
                <w:rFonts w:ascii="方正仿宋_GBK" w:eastAsia="方正仿宋_GBK"/>
                <w:sz w:val="24"/>
                <w:szCs w:val="24"/>
              </w:rPr>
            </w:pPr>
            <w:r>
              <w:rPr>
                <w:rFonts w:hint="eastAsia" w:ascii="方正仿宋_GBK" w:eastAsia="方正仿宋_GBK"/>
                <w:sz w:val="24"/>
                <w:szCs w:val="24"/>
              </w:rPr>
              <w:t>（2）具有网络安全能力认证（CCSC）和数据安全评估师（CCRC-DSA）证书的，每有1人得1分，最高得4分。</w:t>
            </w:r>
          </w:p>
          <w:p w14:paraId="05595F44">
            <w:pPr>
              <w:widowControl/>
              <w:spacing w:line="440" w:lineRule="exact"/>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（供应商需提供近六个月为以上人员缴纳社保的证明材料、相关有效证书、商用密码应用安全性评估人员测评能力考核成绩单证明材料扫描件，并加盖供应商公章，未按要求提供不得分）</w:t>
            </w:r>
          </w:p>
        </w:tc>
        <w:tc>
          <w:tcPr>
            <w:tcW w:w="824" w:type="dxa"/>
            <w:vMerge w:val="continue"/>
            <w:tcBorders>
              <w:left w:val="single" w:color="auto" w:sz="4" w:space="0"/>
            </w:tcBorders>
            <w:vAlign w:val="center"/>
          </w:tcPr>
          <w:p w14:paraId="50A8696D">
            <w:pPr>
              <w:spacing w:line="440" w:lineRule="exact"/>
              <w:jc w:val="center"/>
              <w:rPr>
                <w:rFonts w:ascii="方正仿宋_GBK" w:eastAsia="方正仿宋_GBK"/>
                <w:color w:val="000000"/>
                <w:sz w:val="24"/>
                <w:szCs w:val="24"/>
              </w:rPr>
            </w:pPr>
          </w:p>
        </w:tc>
      </w:tr>
      <w:tr w14:paraId="306E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719" w:type="dxa"/>
            <w:vAlign w:val="center"/>
          </w:tcPr>
          <w:p w14:paraId="4BCCEEB6">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3.7</w:t>
            </w:r>
          </w:p>
        </w:tc>
        <w:tc>
          <w:tcPr>
            <w:tcW w:w="1441" w:type="dxa"/>
            <w:tcBorders>
              <w:right w:val="single" w:color="auto" w:sz="4" w:space="0"/>
            </w:tcBorders>
            <w:vAlign w:val="center"/>
          </w:tcPr>
          <w:p w14:paraId="0FEE9596">
            <w:pPr>
              <w:widowControl/>
              <w:spacing w:line="440" w:lineRule="exact"/>
              <w:jc w:val="center"/>
              <w:textAlignment w:val="center"/>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服务案例（3分）</w:t>
            </w:r>
          </w:p>
        </w:tc>
        <w:tc>
          <w:tcPr>
            <w:tcW w:w="6355" w:type="dxa"/>
            <w:tcBorders>
              <w:top w:val="single" w:color="auto" w:sz="4" w:space="0"/>
              <w:left w:val="single" w:color="auto" w:sz="4" w:space="0"/>
              <w:bottom w:val="single" w:color="auto" w:sz="4" w:space="0"/>
              <w:right w:val="single" w:color="auto" w:sz="4" w:space="0"/>
            </w:tcBorders>
            <w:vAlign w:val="bottom"/>
          </w:tcPr>
          <w:p w14:paraId="004919CA">
            <w:pPr>
              <w:widowControl/>
              <w:spacing w:line="440" w:lineRule="exact"/>
              <w:textAlignment w:val="bottom"/>
              <w:rPr>
                <w:rFonts w:ascii="方正仿宋_GBK" w:hAnsi="宋体" w:eastAsia="方正仿宋_GBK" w:cs="宋体"/>
                <w:color w:val="000000"/>
                <w:kern w:val="0"/>
                <w:sz w:val="24"/>
                <w:szCs w:val="24"/>
                <w:lang w:bidi="ar"/>
              </w:rPr>
            </w:pPr>
            <w:r>
              <w:rPr>
                <w:rFonts w:hint="eastAsia" w:ascii="方正仿宋_GBK" w:hAnsi="宋体" w:eastAsia="方正仿宋_GBK" w:cs="宋体"/>
                <w:color w:val="000000"/>
                <w:kern w:val="0"/>
                <w:sz w:val="24"/>
                <w:szCs w:val="24"/>
                <w:lang w:bidi="ar"/>
              </w:rPr>
              <w:t>供应商提供自2021年1月1日以来为密码测评项目的相关案例（案例主要标的物至少包含 “密码应用安全性评估”），提供一个案例得1分，最高得3分，未按要求提供的不得分。（供应商应提供有效合同扫描件或办赛相关证明文件，并加盖供应商公章，同一个案例不重复计分，未按要求提供不得分）</w:t>
            </w:r>
          </w:p>
        </w:tc>
        <w:tc>
          <w:tcPr>
            <w:tcW w:w="824" w:type="dxa"/>
            <w:tcBorders>
              <w:left w:val="single" w:color="auto" w:sz="4" w:space="0"/>
            </w:tcBorders>
            <w:vAlign w:val="center"/>
          </w:tcPr>
          <w:p w14:paraId="0F6F0060">
            <w:pPr>
              <w:widowControl/>
              <w:spacing w:line="440" w:lineRule="exact"/>
              <w:jc w:val="center"/>
              <w:textAlignment w:val="center"/>
              <w:rPr>
                <w:rFonts w:ascii="方正仿宋_GBK" w:eastAsia="方正仿宋_GBK"/>
                <w:color w:val="000000"/>
                <w:sz w:val="24"/>
                <w:szCs w:val="24"/>
              </w:rPr>
            </w:pPr>
            <w:r>
              <w:rPr>
                <w:rFonts w:hint="eastAsia" w:ascii="方正仿宋_GBK" w:eastAsia="方正仿宋_GBK"/>
                <w:color w:val="000000"/>
                <w:kern w:val="0"/>
                <w:sz w:val="24"/>
                <w:szCs w:val="24"/>
                <w:lang w:bidi="ar"/>
              </w:rPr>
              <w:t>3</w:t>
            </w:r>
          </w:p>
        </w:tc>
      </w:tr>
      <w:tr w14:paraId="2239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515" w:type="dxa"/>
            <w:gridSpan w:val="3"/>
            <w:vAlign w:val="bottom"/>
          </w:tcPr>
          <w:p w14:paraId="0AE374A9">
            <w:pPr>
              <w:widowControl/>
              <w:spacing w:line="440" w:lineRule="exact"/>
              <w:jc w:val="center"/>
              <w:textAlignment w:val="bottom"/>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lang w:bidi="ar"/>
              </w:rPr>
              <w:t>合计：</w:t>
            </w:r>
          </w:p>
        </w:tc>
        <w:tc>
          <w:tcPr>
            <w:tcW w:w="824" w:type="dxa"/>
            <w:vAlign w:val="bottom"/>
          </w:tcPr>
          <w:p w14:paraId="52FF2B9E">
            <w:pPr>
              <w:widowControl/>
              <w:spacing w:line="440" w:lineRule="exact"/>
              <w:jc w:val="center"/>
              <w:textAlignment w:val="bottom"/>
              <w:rPr>
                <w:rFonts w:ascii="方正仿宋_GBK" w:eastAsia="方正仿宋_GBK"/>
                <w:color w:val="000000"/>
                <w:sz w:val="24"/>
                <w:szCs w:val="24"/>
              </w:rPr>
            </w:pPr>
            <w:r>
              <w:rPr>
                <w:rFonts w:hint="eastAsia" w:ascii="方正仿宋_GBK" w:eastAsia="方正仿宋_GBK"/>
                <w:color w:val="000000"/>
                <w:kern w:val="0"/>
                <w:sz w:val="24"/>
                <w:szCs w:val="24"/>
                <w:lang w:bidi="ar"/>
              </w:rPr>
              <w:t>100</w:t>
            </w:r>
          </w:p>
        </w:tc>
      </w:tr>
      <w:bookmarkEnd w:id="0"/>
    </w:tbl>
    <w:p w14:paraId="06348F49">
      <w:pPr>
        <w:tabs>
          <w:tab w:val="left" w:pos="645"/>
        </w:tabs>
        <w:bidi w:val="0"/>
        <w:jc w:val="left"/>
        <w:rPr>
          <w:rFonts w:hint="eastAsia" w:eastAsiaTheme="minorEastAsia"/>
          <w:lang w:eastAsia="zh-CN"/>
        </w:rPr>
      </w:pPr>
    </w:p>
    <w:sectPr>
      <w:footerReference r:id="rId3" w:type="default"/>
      <w:pgSz w:w="11906" w:h="16838"/>
      <w:pgMar w:top="1560" w:right="1800" w:bottom="1440" w:left="1800" w:header="851" w:footer="6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1"/>
        <w:szCs w:val="21"/>
      </w:rPr>
      <w:id w:val="980586938"/>
    </w:sdtPr>
    <w:sdtEndPr>
      <w:rPr>
        <w:rFonts w:asciiTheme="minorEastAsia" w:hAnsiTheme="minorEastAsia"/>
        <w:sz w:val="21"/>
        <w:szCs w:val="21"/>
      </w:rPr>
    </w:sdtEndPr>
    <w:sdtContent>
      <w:p w14:paraId="3F19C69C">
        <w:pPr>
          <w:pStyle w:val="9"/>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12</w:t>
        </w:r>
        <w:r>
          <w:rPr>
            <w:rFonts w:asciiTheme="minorEastAsia" w:hAnsiTheme="minorEastAsia"/>
            <w:sz w:val="21"/>
            <w:szCs w:val="21"/>
            <w:lang w:val="zh-CN"/>
          </w:rPr>
          <w:fldChar w:fldCharType="end"/>
        </w:r>
      </w:p>
    </w:sdtContent>
  </w:sdt>
  <w:p w14:paraId="5AE5321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02F54"/>
    <w:multiLevelType w:val="multilevel"/>
    <w:tmpl w:val="3E102F54"/>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0" w:firstLine="0"/>
      </w:pPr>
      <w:rPr>
        <w:rFonts w:hint="eastAsia"/>
        <w:i w:val="0"/>
        <w:iCs w:val="0"/>
        <w:caps w:val="0"/>
        <w:smallCaps w:val="0"/>
        <w:strike w:val="0"/>
        <w:dstrike w:val="0"/>
        <w:vanish w:val="0"/>
        <w:spacing w:val="0"/>
        <w:position w:val="0"/>
        <w:u w:val="none"/>
        <w:vertAlign w:val="baseline"/>
      </w:rPr>
    </w:lvl>
    <w:lvl w:ilvl="2" w:tentative="0">
      <w:start w:val="1"/>
      <w:numFmt w:val="decimal"/>
      <w:pStyle w:val="2"/>
      <w:suff w:val="space"/>
      <w:lvlText w:val="%3、"/>
      <w:lvlJc w:val="left"/>
      <w:pPr>
        <w:ind w:left="0" w:firstLine="420"/>
      </w:pPr>
      <w:rPr>
        <w:rFonts w:hint="eastAsia"/>
      </w:rPr>
    </w:lvl>
    <w:lvl w:ilvl="3" w:tentative="0">
      <w:start w:val="1"/>
      <w:numFmt w:val="decimal"/>
      <w:pStyle w:val="3"/>
      <w:lvlText w:val="%3.%4、"/>
      <w:lvlJc w:val="left"/>
      <w:pPr>
        <w:ind w:left="0" w:firstLine="42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MDgyYjZjMDI5MWQ0MzBiMjI4ZDRkNWMzNWIxYTQifQ=="/>
  </w:docVars>
  <w:rsids>
    <w:rsidRoot w:val="007661A4"/>
    <w:rsid w:val="0003088A"/>
    <w:rsid w:val="00063538"/>
    <w:rsid w:val="00076635"/>
    <w:rsid w:val="000975A2"/>
    <w:rsid w:val="000A44B1"/>
    <w:rsid w:val="000C499C"/>
    <w:rsid w:val="000E7344"/>
    <w:rsid w:val="00122641"/>
    <w:rsid w:val="00151E3F"/>
    <w:rsid w:val="00155B7B"/>
    <w:rsid w:val="001561C7"/>
    <w:rsid w:val="00157275"/>
    <w:rsid w:val="0016302E"/>
    <w:rsid w:val="001704CA"/>
    <w:rsid w:val="00173619"/>
    <w:rsid w:val="00174E19"/>
    <w:rsid w:val="001A2970"/>
    <w:rsid w:val="001A2B8F"/>
    <w:rsid w:val="002108F4"/>
    <w:rsid w:val="00250C78"/>
    <w:rsid w:val="00251CA5"/>
    <w:rsid w:val="002613C4"/>
    <w:rsid w:val="00270450"/>
    <w:rsid w:val="0028020F"/>
    <w:rsid w:val="00282305"/>
    <w:rsid w:val="00290591"/>
    <w:rsid w:val="002A3026"/>
    <w:rsid w:val="002B3B40"/>
    <w:rsid w:val="002B47CE"/>
    <w:rsid w:val="002C7058"/>
    <w:rsid w:val="002F2018"/>
    <w:rsid w:val="002F620E"/>
    <w:rsid w:val="00311F3E"/>
    <w:rsid w:val="00316EDA"/>
    <w:rsid w:val="00366189"/>
    <w:rsid w:val="0038771B"/>
    <w:rsid w:val="00393CD5"/>
    <w:rsid w:val="003B127A"/>
    <w:rsid w:val="003B50DE"/>
    <w:rsid w:val="003F37DE"/>
    <w:rsid w:val="00425D03"/>
    <w:rsid w:val="00427288"/>
    <w:rsid w:val="004474F9"/>
    <w:rsid w:val="004565E0"/>
    <w:rsid w:val="004822D1"/>
    <w:rsid w:val="00507074"/>
    <w:rsid w:val="005113C1"/>
    <w:rsid w:val="00515913"/>
    <w:rsid w:val="0054190E"/>
    <w:rsid w:val="005431FF"/>
    <w:rsid w:val="00565C8F"/>
    <w:rsid w:val="005A1F8B"/>
    <w:rsid w:val="005B0960"/>
    <w:rsid w:val="005D40FE"/>
    <w:rsid w:val="005E3342"/>
    <w:rsid w:val="006135A4"/>
    <w:rsid w:val="00643047"/>
    <w:rsid w:val="00652BF8"/>
    <w:rsid w:val="006A381D"/>
    <w:rsid w:val="006C071D"/>
    <w:rsid w:val="006C7F22"/>
    <w:rsid w:val="00701AC2"/>
    <w:rsid w:val="00720CCB"/>
    <w:rsid w:val="00736852"/>
    <w:rsid w:val="007463DF"/>
    <w:rsid w:val="007661A4"/>
    <w:rsid w:val="0076673B"/>
    <w:rsid w:val="007759E6"/>
    <w:rsid w:val="00784AB2"/>
    <w:rsid w:val="007C5A5D"/>
    <w:rsid w:val="007C6A1D"/>
    <w:rsid w:val="008005E6"/>
    <w:rsid w:val="00822A80"/>
    <w:rsid w:val="00850C30"/>
    <w:rsid w:val="00871DB2"/>
    <w:rsid w:val="00875FC4"/>
    <w:rsid w:val="008A3513"/>
    <w:rsid w:val="008A651A"/>
    <w:rsid w:val="008C094C"/>
    <w:rsid w:val="008D1B33"/>
    <w:rsid w:val="008D5553"/>
    <w:rsid w:val="00900BB9"/>
    <w:rsid w:val="00901E27"/>
    <w:rsid w:val="009142E7"/>
    <w:rsid w:val="009178CB"/>
    <w:rsid w:val="00933662"/>
    <w:rsid w:val="00955618"/>
    <w:rsid w:val="009C2248"/>
    <w:rsid w:val="009E10D1"/>
    <w:rsid w:val="00A109D3"/>
    <w:rsid w:val="00A13AD3"/>
    <w:rsid w:val="00A34BAA"/>
    <w:rsid w:val="00A72772"/>
    <w:rsid w:val="00A85B96"/>
    <w:rsid w:val="00A93B25"/>
    <w:rsid w:val="00AE1C1A"/>
    <w:rsid w:val="00B01487"/>
    <w:rsid w:val="00B024BA"/>
    <w:rsid w:val="00B62395"/>
    <w:rsid w:val="00B76C3D"/>
    <w:rsid w:val="00B92DB9"/>
    <w:rsid w:val="00BB3F46"/>
    <w:rsid w:val="00BB7BE9"/>
    <w:rsid w:val="00BC571A"/>
    <w:rsid w:val="00C131BF"/>
    <w:rsid w:val="00C33214"/>
    <w:rsid w:val="00C42D66"/>
    <w:rsid w:val="00C63127"/>
    <w:rsid w:val="00CA3887"/>
    <w:rsid w:val="00CC2FD4"/>
    <w:rsid w:val="00CC4832"/>
    <w:rsid w:val="00D14A58"/>
    <w:rsid w:val="00D17BEF"/>
    <w:rsid w:val="00D20E99"/>
    <w:rsid w:val="00D7523F"/>
    <w:rsid w:val="00DA7D80"/>
    <w:rsid w:val="00DF0FD7"/>
    <w:rsid w:val="00DF5845"/>
    <w:rsid w:val="00E4379C"/>
    <w:rsid w:val="00E469A8"/>
    <w:rsid w:val="00E86183"/>
    <w:rsid w:val="00EA2FC9"/>
    <w:rsid w:val="00ED4F57"/>
    <w:rsid w:val="00ED5B24"/>
    <w:rsid w:val="00EF3862"/>
    <w:rsid w:val="00F12234"/>
    <w:rsid w:val="00F30DEC"/>
    <w:rsid w:val="00F62EA1"/>
    <w:rsid w:val="00FA329E"/>
    <w:rsid w:val="00FA4C70"/>
    <w:rsid w:val="00FA5511"/>
    <w:rsid w:val="028C11CF"/>
    <w:rsid w:val="03550A49"/>
    <w:rsid w:val="05A85A82"/>
    <w:rsid w:val="07D13838"/>
    <w:rsid w:val="0A8E470E"/>
    <w:rsid w:val="0B0D5E14"/>
    <w:rsid w:val="0B815649"/>
    <w:rsid w:val="155A30D3"/>
    <w:rsid w:val="159E329B"/>
    <w:rsid w:val="167571D0"/>
    <w:rsid w:val="16FA3937"/>
    <w:rsid w:val="189967EB"/>
    <w:rsid w:val="1B5C73CB"/>
    <w:rsid w:val="1BAB2B55"/>
    <w:rsid w:val="1F82303C"/>
    <w:rsid w:val="24EA6547"/>
    <w:rsid w:val="263D2305"/>
    <w:rsid w:val="28792866"/>
    <w:rsid w:val="2C247228"/>
    <w:rsid w:val="31BC0BA2"/>
    <w:rsid w:val="3B1C421D"/>
    <w:rsid w:val="3BD35C71"/>
    <w:rsid w:val="3CB00428"/>
    <w:rsid w:val="3E466D74"/>
    <w:rsid w:val="432E7458"/>
    <w:rsid w:val="46367DBF"/>
    <w:rsid w:val="465E0EE8"/>
    <w:rsid w:val="470F3D48"/>
    <w:rsid w:val="4AD652DE"/>
    <w:rsid w:val="4AE73816"/>
    <w:rsid w:val="4B170BB7"/>
    <w:rsid w:val="4D143C10"/>
    <w:rsid w:val="4D3C7046"/>
    <w:rsid w:val="4D86770C"/>
    <w:rsid w:val="4D954A8F"/>
    <w:rsid w:val="4E6B74B7"/>
    <w:rsid w:val="552159DD"/>
    <w:rsid w:val="56686E91"/>
    <w:rsid w:val="59892792"/>
    <w:rsid w:val="5A4B2513"/>
    <w:rsid w:val="5AB078E9"/>
    <w:rsid w:val="5B501CFC"/>
    <w:rsid w:val="5EDD4798"/>
    <w:rsid w:val="6022379A"/>
    <w:rsid w:val="608F0419"/>
    <w:rsid w:val="60F15F42"/>
    <w:rsid w:val="61081953"/>
    <w:rsid w:val="61756C12"/>
    <w:rsid w:val="618159FF"/>
    <w:rsid w:val="62590C5D"/>
    <w:rsid w:val="67024A05"/>
    <w:rsid w:val="675B6E7D"/>
    <w:rsid w:val="67E1286C"/>
    <w:rsid w:val="68696AB2"/>
    <w:rsid w:val="6CF46B9E"/>
    <w:rsid w:val="731A2D5D"/>
    <w:rsid w:val="749113CE"/>
    <w:rsid w:val="7B7F2766"/>
    <w:rsid w:val="7F264BB1"/>
    <w:rsid w:val="7FE5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100" w:after="100"/>
      <w:ind w:firstLine="200" w:firstLineChars="200"/>
      <w:outlineLvl w:val="2"/>
    </w:pPr>
    <w:rPr>
      <w:rFonts w:eastAsia="仿宋"/>
      <w:b/>
      <w:bCs/>
      <w:sz w:val="28"/>
      <w:szCs w:val="32"/>
    </w:rPr>
  </w:style>
  <w:style w:type="paragraph" w:styleId="3">
    <w:name w:val="heading 4"/>
    <w:basedOn w:val="1"/>
    <w:next w:val="1"/>
    <w:autoRedefine/>
    <w:unhideWhenUsed/>
    <w:qFormat/>
    <w:uiPriority w:val="0"/>
    <w:pPr>
      <w:keepNext/>
      <w:keepLines/>
      <w:numPr>
        <w:ilvl w:val="3"/>
        <w:numId w:val="1"/>
      </w:numPr>
      <w:spacing w:before="40" w:after="40"/>
      <w:ind w:firstLine="200" w:firstLineChars="200"/>
      <w:outlineLvl w:val="3"/>
    </w:pPr>
    <w:rPr>
      <w:rFonts w:eastAsia="仿宋" w:asciiTheme="majorHAnsi" w:hAnsiTheme="majorHAnsi"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Plain Text"/>
    <w:basedOn w:val="1"/>
    <w:qFormat/>
    <w:uiPriority w:val="0"/>
    <w:rPr>
      <w:rFonts w:ascii="宋体" w:hAnsi="Courier New"/>
      <w:szCs w:val="20"/>
    </w:rPr>
  </w:style>
  <w:style w:type="paragraph" w:styleId="6">
    <w:name w:val="Body Text Indent"/>
    <w:basedOn w:val="1"/>
    <w:next w:val="7"/>
    <w:autoRedefine/>
    <w:semiHidden/>
    <w:unhideWhenUsed/>
    <w:qFormat/>
    <w:uiPriority w:val="99"/>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8">
    <w:name w:val="Balloon Text"/>
    <w:basedOn w:val="1"/>
    <w:link w:val="23"/>
    <w:autoRedefine/>
    <w:semiHidden/>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autoRedefine/>
    <w:qFormat/>
    <w:uiPriority w:val="0"/>
    <w:pPr>
      <w:spacing w:before="200" w:after="400"/>
      <w:jc w:val="center"/>
      <w:outlineLvl w:val="0"/>
    </w:pPr>
    <w:rPr>
      <w:rFonts w:eastAsia="仿宋" w:asciiTheme="majorHAnsi" w:hAnsiTheme="majorHAnsi" w:cstheme="majorBidi"/>
      <w:b/>
      <w:bCs/>
      <w:sz w:val="44"/>
      <w:szCs w:val="32"/>
    </w:rPr>
  </w:style>
  <w:style w:type="paragraph" w:styleId="14">
    <w:name w:val="Body Text First Indent 2"/>
    <w:basedOn w:val="6"/>
    <w:autoRedefine/>
    <w:qFormat/>
    <w:uiPriority w:val="99"/>
    <w:pPr>
      <w:spacing w:after="0" w:line="560" w:lineRule="exact"/>
      <w:ind w:left="0" w:leftChars="0"/>
    </w:pPr>
    <w:rPr>
      <w:rFonts w:ascii="黑体" w:hAnsi="黑体" w:eastAsia="黑体" w:cs="Times New Roman"/>
      <w:sz w:val="28"/>
      <w:szCs w:val="3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autoRedefine/>
    <w:qFormat/>
    <w:uiPriority w:val="99"/>
    <w:rPr>
      <w:color w:val="0000FF"/>
      <w:u w:val="single"/>
    </w:rPr>
  </w:style>
  <w:style w:type="paragraph" w:customStyle="1" w:styleId="19">
    <w:name w:val="正文1"/>
    <w:basedOn w:val="1"/>
    <w:autoRedefine/>
    <w:qFormat/>
    <w:uiPriority w:val="0"/>
    <w:pPr>
      <w:spacing w:line="480" w:lineRule="exact"/>
      <w:jc w:val="center"/>
    </w:pPr>
    <w:rPr>
      <w:rFonts w:ascii="仿宋" w:hAnsi="仿宋" w:eastAsia="仿宋" w:cs="仿宋"/>
      <w:b/>
      <w:sz w:val="44"/>
      <w:szCs w:val="84"/>
    </w:rPr>
  </w:style>
  <w:style w:type="character" w:customStyle="1" w:styleId="20">
    <w:name w:val="页眉 字符"/>
    <w:basedOn w:val="17"/>
    <w:link w:val="10"/>
    <w:autoRedefine/>
    <w:semiHidden/>
    <w:qFormat/>
    <w:uiPriority w:val="99"/>
    <w:rPr>
      <w:sz w:val="18"/>
      <w:szCs w:val="18"/>
    </w:rPr>
  </w:style>
  <w:style w:type="character" w:customStyle="1" w:styleId="21">
    <w:name w:val="页脚 字符"/>
    <w:basedOn w:val="17"/>
    <w:link w:val="9"/>
    <w:autoRedefine/>
    <w:qFormat/>
    <w:uiPriority w:val="99"/>
    <w:rPr>
      <w:sz w:val="18"/>
      <w:szCs w:val="18"/>
    </w:rPr>
  </w:style>
  <w:style w:type="paragraph" w:customStyle="1" w:styleId="22">
    <w:name w:val="p0"/>
    <w:basedOn w:val="1"/>
    <w:autoRedefine/>
    <w:qFormat/>
    <w:uiPriority w:val="0"/>
    <w:pPr>
      <w:widowControl/>
    </w:pPr>
    <w:rPr>
      <w:rFonts w:ascii="Calibri" w:hAnsi="Calibri" w:eastAsia="宋体" w:cs="Calibri"/>
      <w:kern w:val="0"/>
      <w:szCs w:val="21"/>
    </w:rPr>
  </w:style>
  <w:style w:type="character" w:customStyle="1" w:styleId="23">
    <w:name w:val="批注框文本 字符"/>
    <w:basedOn w:val="17"/>
    <w:link w:val="8"/>
    <w:autoRedefine/>
    <w:semiHidden/>
    <w:qFormat/>
    <w:uiPriority w:val="99"/>
    <w:rPr>
      <w:sz w:val="18"/>
      <w:szCs w:val="18"/>
    </w:rPr>
  </w:style>
  <w:style w:type="paragraph" w:customStyle="1" w:styleId="24">
    <w:name w:val="标题1"/>
    <w:basedOn w:val="1"/>
    <w:next w:val="1"/>
    <w:autoRedefine/>
    <w:qFormat/>
    <w:uiPriority w:val="99"/>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paragraph" w:styleId="25">
    <w:name w:val="List Paragraph"/>
    <w:basedOn w:val="1"/>
    <w:autoRedefine/>
    <w:qFormat/>
    <w:uiPriority w:val="34"/>
    <w:pPr>
      <w:ind w:firstLine="420" w:firstLineChars="200"/>
    </w:pPr>
  </w:style>
  <w:style w:type="paragraph" w:customStyle="1" w:styleId="26">
    <w:name w:val="内容正文"/>
    <w:basedOn w:val="1"/>
    <w:autoRedefine/>
    <w:qFormat/>
    <w:uiPriority w:val="0"/>
    <w:pPr>
      <w:autoSpaceDE w:val="0"/>
      <w:autoSpaceDN w:val="0"/>
      <w:adjustRightInd w:val="0"/>
      <w:snapToGrid w:val="0"/>
      <w:spacing w:line="560" w:lineRule="exact"/>
      <w:ind w:right="-197" w:rightChars="-94" w:firstLine="560" w:firstLineChars="200"/>
      <w:contextualSpacing/>
      <w:jc w:val="left"/>
    </w:pPr>
    <w:rPr>
      <w:rFonts w:ascii="Times New Roman" w:hAnsi="Times New Roman" w:eastAsia="方正仿宋_GBK" w:cs="Times New Roman"/>
      <w:color w:val="FF0000"/>
      <w:sz w:val="28"/>
      <w:szCs w:val="28"/>
    </w:rPr>
  </w:style>
  <w:style w:type="character" w:customStyle="1" w:styleId="27">
    <w:name w:val="font31"/>
    <w:basedOn w:val="17"/>
    <w:autoRedefine/>
    <w:qFormat/>
    <w:uiPriority w:val="0"/>
    <w:rPr>
      <w:rFonts w:hint="default" w:ascii="Times New Roman" w:hAnsi="Times New Roman" w:cs="Times New Roman"/>
      <w:color w:val="000000"/>
      <w:sz w:val="21"/>
      <w:szCs w:val="21"/>
      <w:u w:val="none"/>
    </w:rPr>
  </w:style>
  <w:style w:type="character" w:customStyle="1" w:styleId="28">
    <w:name w:val="font51"/>
    <w:basedOn w:val="1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FEE1D-728B-4024-9895-DD8A66FB474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1755</Words>
  <Characters>1833</Characters>
  <Lines>31</Lines>
  <Paragraphs>8</Paragraphs>
  <TotalTime>7</TotalTime>
  <ScaleCrop>false</ScaleCrop>
  <LinksUpToDate>false</LinksUpToDate>
  <CharactersWithSpaces>1836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2024-05-24T02:14:00Z</dcterms:created>
  <dc:creator>USER</dc:creator>
  <cp:lastModifiedBy>一路向东</cp:lastModifiedBy>
  <cp:lastPrinted>2024-07-04T02:35:00Z</cp:lastPrinted>
  <dcterms:modified xsi:type="dcterms:W3CDTF">2025-04-21T08:03:19Z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423375864_btnclosed</vt:lpwstr>
  </property>
  <property fmtid="{D5CDD505-2E9C-101B-9397-08002B2CF9AE}" pid="3" name="KSOProductBuildVer">
    <vt:lpwstr>2052-12.1.0.20784</vt:lpwstr>
  </property>
  <property fmtid="{D5CDD505-2E9C-101B-9397-08002B2CF9AE}" pid="4" name="ICV">
    <vt:lpwstr>E742792E6AE047EDB4B0FA3542D6EBAE_13</vt:lpwstr>
  </property>
  <property fmtid="{D5CDD505-2E9C-101B-9397-08002B2CF9AE}" pid="5" name="KSOTemplateDocerSaveRecord">
    <vt:lpwstr>eyJoZGlkIjoiZjliMTA1ZDFhZWMyODM2ZjBhYTVjZTliNzU4YTBhNmEiLCJ1c2VySWQiOiIxNDk1NDQwNTczIn0=</vt:lpwstr>
  </property>
</Properties>
</file>