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bookmarkStart w:id="0" w:name="_Toc478716930"/>
      <w:bookmarkStart w:id="1" w:name="_Toc478474649"/>
      <w:bookmarkStart w:id="2" w:name="_Toc508986496"/>
      <w:bookmarkStart w:id="3" w:name="_Toc478474697"/>
      <w:bookmarkStart w:id="4" w:name="_Toc476043562"/>
      <w:bookmarkStart w:id="5" w:name="_Toc477787264"/>
    </w:p>
    <w:p>
      <w:pPr>
        <w:jc w:val="center"/>
        <w:rPr>
          <w:b/>
          <w:sz w:val="44"/>
          <w:szCs w:val="44"/>
        </w:rPr>
      </w:pPr>
    </w:p>
    <w:p>
      <w:pPr>
        <w:jc w:val="center"/>
        <w:rPr>
          <w:b/>
          <w:sz w:val="44"/>
          <w:szCs w:val="44"/>
        </w:rPr>
      </w:pPr>
    </w:p>
    <w:p>
      <w:pPr>
        <w:jc w:val="center"/>
        <w:rPr>
          <w:b/>
          <w:sz w:val="44"/>
          <w:szCs w:val="44"/>
        </w:rPr>
      </w:pPr>
    </w:p>
    <w:p>
      <w:pPr>
        <w:spacing w:line="720" w:lineRule="auto"/>
        <w:jc w:val="center"/>
        <w:rPr>
          <w:rFonts w:ascii="宋体" w:hAnsi="宋体" w:cs="宋体"/>
          <w:b/>
          <w:sz w:val="48"/>
          <w:szCs w:val="48"/>
        </w:rPr>
      </w:pPr>
      <w:r>
        <w:rPr>
          <w:rFonts w:hint="eastAsia" w:ascii="宋体" w:hAnsi="宋体" w:cs="宋体"/>
          <w:b/>
          <w:sz w:val="48"/>
          <w:szCs w:val="48"/>
        </w:rPr>
        <w:t>江苏省职业病防治信息管理平台</w:t>
      </w:r>
    </w:p>
    <w:p>
      <w:pPr>
        <w:spacing w:line="720" w:lineRule="auto"/>
        <w:jc w:val="center"/>
        <w:rPr>
          <w:rFonts w:ascii="宋体" w:hAnsi="宋体" w:cs="宋体"/>
          <w:b/>
          <w:sz w:val="48"/>
          <w:szCs w:val="48"/>
        </w:rPr>
      </w:pPr>
      <w:r>
        <w:rPr>
          <w:rFonts w:hint="eastAsia" w:ascii="宋体" w:hAnsi="宋体" w:cs="宋体"/>
          <w:b/>
          <w:sz w:val="48"/>
          <w:szCs w:val="48"/>
        </w:rPr>
        <w:t>技术人员培训管理</w:t>
      </w:r>
    </w:p>
    <w:p>
      <w:pPr>
        <w:spacing w:line="720" w:lineRule="auto"/>
        <w:jc w:val="center"/>
        <w:rPr>
          <w:rFonts w:ascii="宋体" w:hAnsi="宋体" w:cs="宋体"/>
          <w:b/>
          <w:sz w:val="44"/>
          <w:szCs w:val="44"/>
        </w:rPr>
      </w:pPr>
      <w:r>
        <w:rPr>
          <w:rFonts w:hint="eastAsia" w:ascii="宋体" w:hAnsi="宋体" w:cs="宋体"/>
          <w:b/>
          <w:sz w:val="44"/>
          <w:szCs w:val="44"/>
        </w:rPr>
        <w:t>操作手册</w:t>
      </w:r>
    </w:p>
    <w:p>
      <w:pPr>
        <w:rPr>
          <w:b/>
          <w:sz w:val="44"/>
          <w:szCs w:val="44"/>
        </w:rPr>
      </w:pPr>
    </w:p>
    <w:p>
      <w:pPr>
        <w:spacing w:line="360" w:lineRule="auto"/>
        <w:jc w:val="center"/>
        <w:rPr>
          <w:rFonts w:ascii="宋体" w:hAnsi="宋体" w:cs="宋体"/>
          <w:b/>
          <w:sz w:val="44"/>
          <w:szCs w:val="36"/>
        </w:rPr>
      </w:pPr>
    </w:p>
    <w:p>
      <w:pPr>
        <w:spacing w:line="360" w:lineRule="auto"/>
        <w:jc w:val="center"/>
        <w:rPr>
          <w:rFonts w:ascii="宋体" w:hAnsi="宋体" w:cs="宋体"/>
          <w:b/>
          <w:sz w:val="44"/>
          <w:szCs w:val="36"/>
        </w:rPr>
      </w:pPr>
    </w:p>
    <w:p>
      <w:pPr>
        <w:spacing w:line="360" w:lineRule="auto"/>
        <w:ind w:left="2100" w:firstLine="420"/>
        <w:rPr>
          <w:rFonts w:ascii="宋体" w:hAnsi="宋体" w:cs="宋体"/>
          <w:sz w:val="24"/>
        </w:rPr>
      </w:pPr>
      <w:r>
        <w:rPr>
          <w:rFonts w:hint="eastAsia" w:ascii="宋体" w:hAnsi="宋体" w:cs="宋体"/>
          <w:sz w:val="24"/>
        </w:rPr>
        <w:t>编</w:t>
      </w:r>
      <w:r>
        <w:rPr>
          <w:rFonts w:hint="eastAsia" w:ascii="宋体" w:hAnsi="宋体" w:cs="宋体"/>
          <w:sz w:val="24"/>
        </w:rPr>
        <w:tab/>
      </w:r>
      <w:r>
        <w:rPr>
          <w:rFonts w:hint="eastAsia" w:ascii="宋体" w:hAnsi="宋体" w:cs="宋体"/>
          <w:sz w:val="24"/>
        </w:rPr>
        <w:t xml:space="preserve">  号： </w:t>
      </w:r>
    </w:p>
    <w:p>
      <w:pPr>
        <w:spacing w:line="360" w:lineRule="auto"/>
        <w:ind w:left="2520"/>
        <w:rPr>
          <w:rFonts w:ascii="宋体" w:hAnsi="宋体" w:cs="宋体"/>
          <w:sz w:val="24"/>
        </w:rPr>
      </w:pPr>
      <w:r>
        <w:rPr>
          <w:rFonts w:hint="eastAsia" w:ascii="宋体" w:hAnsi="宋体" w:cs="宋体"/>
          <w:sz w:val="24"/>
        </w:rPr>
        <w:t>版</w:t>
      </w:r>
      <w:r>
        <w:rPr>
          <w:rFonts w:hint="eastAsia" w:ascii="宋体" w:hAnsi="宋体" w:cs="宋体"/>
          <w:sz w:val="24"/>
        </w:rPr>
        <w:tab/>
      </w:r>
      <w:r>
        <w:rPr>
          <w:rFonts w:hint="eastAsia" w:ascii="宋体" w:hAnsi="宋体" w:cs="宋体"/>
          <w:sz w:val="24"/>
        </w:rPr>
        <w:t xml:space="preserve">  本： 1.0</w:t>
      </w:r>
    </w:p>
    <w:p>
      <w:pPr>
        <w:spacing w:line="360" w:lineRule="auto"/>
        <w:ind w:left="2100" w:firstLine="420"/>
        <w:rPr>
          <w:rFonts w:ascii="宋体" w:hAnsi="宋体" w:cs="宋体"/>
          <w:sz w:val="24"/>
        </w:rPr>
      </w:pPr>
      <w:r>
        <w:rPr>
          <w:rFonts w:hint="eastAsia" w:ascii="宋体" w:hAnsi="宋体" w:cs="宋体"/>
          <w:sz w:val="24"/>
        </w:rPr>
        <w:t>发布时间：2018 年 06月 12 日</w:t>
      </w: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cs="宋体"/>
          <w:szCs w:val="21"/>
        </w:rPr>
      </w:pPr>
    </w:p>
    <w:p>
      <w:pPr>
        <w:spacing w:line="360" w:lineRule="auto"/>
        <w:jc w:val="center"/>
        <w:rPr>
          <w:rFonts w:ascii="宋体" w:hAnsi="宋体" w:cs="宋体"/>
          <w:b/>
          <w:sz w:val="28"/>
          <w:szCs w:val="28"/>
        </w:rPr>
      </w:pPr>
      <w:r>
        <w:rPr>
          <w:rFonts w:hint="eastAsia" w:ascii="宋体" w:hAnsi="宋体" w:cs="宋体"/>
          <w:b/>
          <w:sz w:val="28"/>
          <w:szCs w:val="28"/>
        </w:rPr>
        <w:t>南京中卫信软件科技有限公司</w:t>
      </w:r>
    </w:p>
    <w:p>
      <w:pPr>
        <w:jc w:val="center"/>
        <w:rPr>
          <w:b/>
          <w:sz w:val="44"/>
          <w:szCs w:val="44"/>
        </w:rPr>
      </w:pPr>
    </w:p>
    <w:sdt>
      <w:sdtPr>
        <w:rPr>
          <w:rFonts w:ascii="Times New Roman" w:hAnsi="Times New Roman" w:eastAsiaTheme="minorEastAsia" w:cstheme="minorBidi"/>
          <w:b w:val="0"/>
          <w:bCs w:val="0"/>
          <w:color w:val="auto"/>
          <w:kern w:val="2"/>
          <w:sz w:val="21"/>
          <w:szCs w:val="24"/>
          <w:lang w:val="zh-CN"/>
        </w:rPr>
        <w:id w:val="-672808053"/>
        <w:docPartObj>
          <w:docPartGallery w:val="Table of Contents"/>
          <w:docPartUnique/>
        </w:docPartObj>
      </w:sdtPr>
      <w:sdtEndPr>
        <w:rPr>
          <w:rFonts w:ascii="Times New Roman" w:hAnsi="Times New Roman" w:eastAsiaTheme="minorEastAsia" w:cstheme="minorBidi"/>
          <w:b w:val="0"/>
          <w:bCs w:val="0"/>
          <w:color w:val="auto"/>
          <w:kern w:val="2"/>
          <w:sz w:val="21"/>
          <w:szCs w:val="24"/>
          <w:lang w:val="zh-CN"/>
        </w:rPr>
      </w:sdtEndPr>
      <w:sdtContent>
        <w:p>
          <w:pPr>
            <w:pStyle w:val="25"/>
            <w:pageBreakBefore/>
            <w:jc w:val="center"/>
          </w:pPr>
          <w:r>
            <w:rPr>
              <w:lang w:val="zh-CN"/>
            </w:rPr>
            <w:t>目录</w:t>
          </w:r>
        </w:p>
        <w:p>
          <w:pPr>
            <w:pStyle w:val="8"/>
            <w:tabs>
              <w:tab w:val="right" w:leader="dot" w:pos="8296"/>
            </w:tabs>
            <w:rPr>
              <w:rFonts w:asciiTheme="minorHAnsi" w:hAnsiTheme="minorHAnsi"/>
              <w:szCs w:val="22"/>
            </w:rPr>
          </w:pPr>
          <w:r>
            <w:fldChar w:fldCharType="begin"/>
          </w:r>
          <w:r>
            <w:instrText xml:space="preserve"> TOC \o "1-3" \h \z \u </w:instrText>
          </w:r>
          <w:r>
            <w:fldChar w:fldCharType="separate"/>
          </w:r>
          <w:r>
            <w:fldChar w:fldCharType="begin"/>
          </w:r>
          <w:r>
            <w:instrText xml:space="preserve"> HYPERLINK \l "_Toc519752796" </w:instrText>
          </w:r>
          <w:r>
            <w:fldChar w:fldCharType="separate"/>
          </w:r>
          <w:r>
            <w:fldChar w:fldCharType="end"/>
          </w:r>
        </w:p>
        <w:p>
          <w:pPr>
            <w:pStyle w:val="13"/>
            <w:tabs>
              <w:tab w:val="right" w:leader="dot" w:pos="8296"/>
            </w:tabs>
            <w:rPr>
              <w:rFonts w:asciiTheme="minorHAnsi" w:hAnsiTheme="minorHAnsi"/>
              <w:szCs w:val="22"/>
            </w:rPr>
          </w:pPr>
          <w:r>
            <w:fldChar w:fldCharType="begin"/>
          </w:r>
          <w:r>
            <w:instrText xml:space="preserve"> HYPERLINK \l "_Toc519752797" </w:instrText>
          </w:r>
          <w:r>
            <w:fldChar w:fldCharType="separate"/>
          </w:r>
          <w:r>
            <w:rPr>
              <w:rStyle w:val="19"/>
              <w:rFonts w:hint="eastAsia" w:ascii="宋体" w:hAnsi="宋体"/>
            </w:rPr>
            <w:t>第一章</w:t>
          </w:r>
          <w:r>
            <w:rPr>
              <w:rStyle w:val="19"/>
              <w:rFonts w:ascii="宋体" w:hAnsi="宋体"/>
            </w:rPr>
            <w:t xml:space="preserve"> </w:t>
          </w:r>
          <w:r>
            <w:rPr>
              <w:rStyle w:val="19"/>
              <w:rFonts w:hint="eastAsia" w:ascii="宋体" w:hAnsi="宋体"/>
            </w:rPr>
            <w:t>前言</w:t>
          </w:r>
          <w:r>
            <w:tab/>
          </w:r>
          <w:r>
            <w:fldChar w:fldCharType="begin"/>
          </w:r>
          <w:r>
            <w:instrText xml:space="preserve"> PAGEREF _Toc519752797 \h </w:instrText>
          </w:r>
          <w:r>
            <w:fldChar w:fldCharType="separate"/>
          </w:r>
          <w:r>
            <w:t>1</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"_Toc519752798" </w:instrText>
          </w:r>
          <w:r>
            <w:fldChar w:fldCharType="separate"/>
          </w:r>
          <w:r>
            <w:rPr>
              <w:rStyle w:val="19"/>
              <w:rFonts w:ascii="宋体" w:hAnsi="宋体"/>
            </w:rPr>
            <w:t xml:space="preserve">1.1  </w:t>
          </w:r>
          <w:r>
            <w:rPr>
              <w:rStyle w:val="19"/>
              <w:rFonts w:hint="eastAsia" w:ascii="宋体" w:hAnsi="宋体"/>
            </w:rPr>
            <w:t>用户计算机硬件要求</w:t>
          </w:r>
          <w:r>
            <w:tab/>
          </w:r>
          <w:r>
            <w:fldChar w:fldCharType="begin"/>
          </w:r>
          <w:r>
            <w:instrText xml:space="preserve"> PAGEREF _Toc519752798 \h </w:instrText>
          </w:r>
          <w:r>
            <w:fldChar w:fldCharType="separate"/>
          </w:r>
          <w:r>
            <w:t>1</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"_Toc519752799" </w:instrText>
          </w:r>
          <w:r>
            <w:fldChar w:fldCharType="separate"/>
          </w:r>
          <w:r>
            <w:rPr>
              <w:rStyle w:val="19"/>
              <w:rFonts w:ascii="宋体" w:hAnsi="宋体"/>
            </w:rPr>
            <w:t xml:space="preserve">1.2  </w:t>
          </w:r>
          <w:r>
            <w:rPr>
              <w:rStyle w:val="19"/>
              <w:rFonts w:hint="eastAsia" w:ascii="宋体" w:hAnsi="宋体"/>
            </w:rPr>
            <w:t>用户计算机软件要求</w:t>
          </w:r>
          <w:r>
            <w:tab/>
          </w:r>
          <w:r>
            <w:fldChar w:fldCharType="begin"/>
          </w:r>
          <w:r>
            <w:instrText xml:space="preserve"> PAGEREF _Toc519752799 \h </w:instrText>
          </w:r>
          <w:r>
            <w:fldChar w:fldCharType="separate"/>
          </w:r>
          <w:r>
            <w:t>1</w:t>
          </w:r>
          <w:r>
            <w:fldChar w:fldCharType="end"/>
          </w:r>
          <w:r>
            <w:fldChar w:fldCharType="end"/>
          </w:r>
        </w:p>
        <w:p>
          <w:pPr>
            <w:pStyle w:val="15"/>
            <w:tabs>
              <w:tab w:val="left" w:pos="1050"/>
              <w:tab w:val="right" w:leader="dot" w:pos="8296"/>
            </w:tabs>
            <w:rPr>
              <w:rFonts w:asciiTheme="minorHAnsi" w:hAnsiTheme="minorHAnsi"/>
              <w:szCs w:val="22"/>
            </w:rPr>
          </w:pPr>
          <w:r>
            <w:fldChar w:fldCharType="begin"/>
          </w:r>
          <w:r>
            <w:instrText xml:space="preserve"> HYPERLINK \l "_Toc519752800" </w:instrText>
          </w:r>
          <w:r>
            <w:fldChar w:fldCharType="separate"/>
          </w:r>
          <w:r>
            <w:rPr>
              <w:rStyle w:val="19"/>
              <w:rFonts w:ascii="宋体" w:hAnsi="宋体"/>
            </w:rPr>
            <w:t>1.3</w:t>
          </w:r>
          <w:r>
            <w:rPr>
              <w:rFonts w:asciiTheme="minorHAnsi" w:hAnsiTheme="minorHAnsi"/>
              <w:szCs w:val="22"/>
            </w:rPr>
            <w:tab/>
          </w:r>
          <w:r>
            <w:rPr>
              <w:rStyle w:val="19"/>
              <w:rFonts w:hint="eastAsia" w:ascii="宋体" w:hAnsi="宋体"/>
            </w:rPr>
            <w:t>总体业务流程说明</w:t>
          </w:r>
          <w:r>
            <w:tab/>
          </w:r>
          <w:r>
            <w:fldChar w:fldCharType="begin"/>
          </w:r>
          <w:r>
            <w:instrText xml:space="preserve"> PAGEREF _Toc519752800 \h </w:instrText>
          </w:r>
          <w:r>
            <w:fldChar w:fldCharType="separate"/>
          </w:r>
          <w:r>
            <w:t>1</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"_Toc519752801" </w:instrText>
          </w:r>
          <w:r>
            <w:fldChar w:fldCharType="separate"/>
          </w:r>
          <w:r>
            <w:rPr>
              <w:rStyle w:val="19"/>
              <w:rFonts w:ascii="宋体" w:hAnsi="宋体"/>
            </w:rPr>
            <w:t xml:space="preserve">1.4  </w:t>
          </w:r>
          <w:r>
            <w:rPr>
              <w:rStyle w:val="19"/>
              <w:rFonts w:hint="eastAsia" w:ascii="宋体" w:hAnsi="宋体"/>
            </w:rPr>
            <w:t>其他说明</w:t>
          </w:r>
          <w:r>
            <w:tab/>
          </w:r>
          <w:r>
            <w:fldChar w:fldCharType="begin"/>
          </w:r>
          <w:r>
            <w:instrText xml:space="preserve"> PAGEREF _Toc519752801 \h </w:instrText>
          </w:r>
          <w:r>
            <w:fldChar w:fldCharType="separate"/>
          </w:r>
          <w:r>
            <w:t>2</w:t>
          </w:r>
          <w:r>
            <w:fldChar w:fldCharType="end"/>
          </w:r>
          <w:r>
            <w:fldChar w:fldCharType="end"/>
          </w:r>
        </w:p>
        <w:p>
          <w:pPr>
            <w:pStyle w:val="13"/>
            <w:tabs>
              <w:tab w:val="right" w:leader="dot" w:pos="8296"/>
            </w:tabs>
            <w:rPr>
              <w:rFonts w:asciiTheme="minorHAnsi" w:hAnsiTheme="minorHAnsi"/>
              <w:szCs w:val="22"/>
            </w:rPr>
          </w:pPr>
          <w:r>
            <w:fldChar w:fldCharType="begin"/>
          </w:r>
          <w:r>
            <w:instrText xml:space="preserve"> HYPERLINK \l "_Toc519752802" </w:instrText>
          </w:r>
          <w:r>
            <w:fldChar w:fldCharType="separate"/>
          </w:r>
          <w:r>
            <w:rPr>
              <w:rStyle w:val="19"/>
              <w:rFonts w:hint="eastAsia" w:ascii="宋体" w:hAnsi="宋体"/>
            </w:rPr>
            <w:t>第二章</w:t>
          </w:r>
          <w:r>
            <w:rPr>
              <w:rStyle w:val="19"/>
              <w:rFonts w:ascii="宋体" w:hAnsi="宋体"/>
            </w:rPr>
            <w:t xml:space="preserve"> </w:t>
          </w:r>
          <w:r>
            <w:rPr>
              <w:rStyle w:val="19"/>
              <w:rFonts w:hint="eastAsia" w:ascii="宋体" w:hAnsi="宋体"/>
            </w:rPr>
            <w:t>系统登录</w:t>
          </w:r>
          <w:r>
            <w:tab/>
          </w:r>
          <w:r>
            <w:fldChar w:fldCharType="begin"/>
          </w:r>
          <w:r>
            <w:instrText xml:space="preserve"> PAGEREF _Toc519752802 \h </w:instrText>
          </w:r>
          <w:r>
            <w:fldChar w:fldCharType="separate"/>
          </w:r>
          <w:r>
            <w:t>2</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"_Toc519752803" </w:instrText>
          </w:r>
          <w:r>
            <w:fldChar w:fldCharType="separate"/>
          </w:r>
          <w:r>
            <w:rPr>
              <w:rStyle w:val="19"/>
              <w:rFonts w:ascii="宋体" w:hAnsi="宋体"/>
            </w:rPr>
            <w:t xml:space="preserve">2.1  </w:t>
          </w:r>
          <w:r>
            <w:rPr>
              <w:rStyle w:val="19"/>
              <w:rFonts w:hint="eastAsia" w:ascii="宋体" w:hAnsi="宋体"/>
            </w:rPr>
            <w:t>登录系统</w:t>
          </w:r>
          <w:r>
            <w:tab/>
          </w:r>
          <w:r>
            <w:fldChar w:fldCharType="begin"/>
          </w:r>
          <w:r>
            <w:instrText xml:space="preserve"> PAGEREF _Toc519752803 \h </w:instrText>
          </w:r>
          <w:r>
            <w:fldChar w:fldCharType="separate"/>
          </w:r>
          <w:r>
            <w:t>2</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"_Toc519752804" </w:instrText>
          </w:r>
          <w:r>
            <w:fldChar w:fldCharType="separate"/>
          </w:r>
          <w:r>
            <w:rPr>
              <w:rStyle w:val="19"/>
              <w:rFonts w:ascii="宋体" w:hAnsi="宋体"/>
            </w:rPr>
            <w:t xml:space="preserve">2.2  </w:t>
          </w:r>
          <w:r>
            <w:rPr>
              <w:rStyle w:val="19"/>
              <w:rFonts w:hint="eastAsia" w:ascii="宋体" w:hAnsi="宋体"/>
            </w:rPr>
            <w:t>修改密码</w:t>
          </w:r>
          <w:r>
            <w:tab/>
          </w:r>
          <w:r>
            <w:fldChar w:fldCharType="begin"/>
          </w:r>
          <w:r>
            <w:instrText xml:space="preserve"> PAGEREF _Toc519752804 \h </w:instrText>
          </w:r>
          <w:r>
            <w:fldChar w:fldCharType="separate"/>
          </w:r>
          <w:r>
            <w:t>3</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"_Toc519752805" </w:instrText>
          </w:r>
          <w:r>
            <w:fldChar w:fldCharType="separate"/>
          </w:r>
          <w:r>
            <w:rPr>
              <w:rStyle w:val="19"/>
            </w:rPr>
            <w:t xml:space="preserve">2.3  </w:t>
          </w:r>
          <w:r>
            <w:rPr>
              <w:rStyle w:val="19"/>
              <w:rFonts w:hint="eastAsia"/>
            </w:rPr>
            <w:t>重新登录</w:t>
          </w:r>
          <w:r>
            <w:tab/>
          </w:r>
          <w:r>
            <w:fldChar w:fldCharType="begin"/>
          </w:r>
          <w:r>
            <w:instrText xml:space="preserve"> PAGEREF _Toc519752805 \h </w:instrText>
          </w:r>
          <w:r>
            <w:fldChar w:fldCharType="separate"/>
          </w:r>
          <w:r>
            <w:t>4</w:t>
          </w:r>
          <w:r>
            <w:fldChar w:fldCharType="end"/>
          </w:r>
          <w:r>
            <w:fldChar w:fldCharType="end"/>
          </w:r>
        </w:p>
        <w:p>
          <w:pPr>
            <w:pStyle w:val="13"/>
            <w:tabs>
              <w:tab w:val="right" w:leader="dot" w:pos="8296"/>
            </w:tabs>
            <w:rPr>
              <w:rFonts w:asciiTheme="minorHAnsi" w:hAnsiTheme="minorHAnsi"/>
              <w:szCs w:val="22"/>
            </w:rPr>
          </w:pPr>
          <w:r>
            <w:fldChar w:fldCharType="begin"/>
          </w:r>
          <w:r>
            <w:instrText xml:space="preserve"> HYPERLINK \l "_Toc519752806" </w:instrText>
          </w:r>
          <w:r>
            <w:fldChar w:fldCharType="separate"/>
          </w:r>
          <w:r>
            <w:rPr>
              <w:rStyle w:val="19"/>
              <w:rFonts w:hint="eastAsia" w:ascii="宋体" w:hAnsi="宋体"/>
            </w:rPr>
            <w:t>第三章</w:t>
          </w:r>
          <w:r>
            <w:rPr>
              <w:rStyle w:val="19"/>
              <w:rFonts w:ascii="宋体" w:hAnsi="宋体"/>
            </w:rPr>
            <w:t xml:space="preserve"> </w:t>
          </w:r>
          <w:r>
            <w:rPr>
              <w:rStyle w:val="19"/>
              <w:rFonts w:hint="eastAsia" w:ascii="宋体" w:hAnsi="宋体"/>
            </w:rPr>
            <w:t>完善人员信息</w:t>
          </w:r>
          <w:r>
            <w:tab/>
          </w:r>
          <w:r>
            <w:fldChar w:fldCharType="begin"/>
          </w:r>
          <w:r>
            <w:instrText xml:space="preserve"> PAGEREF _Toc519752806 \h </w:instrText>
          </w:r>
          <w:r>
            <w:fldChar w:fldCharType="separate"/>
          </w:r>
          <w:r>
            <w:t>4</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"_Toc519752807" </w:instrText>
          </w:r>
          <w:r>
            <w:fldChar w:fldCharType="separate"/>
          </w:r>
          <w:r>
            <w:rPr>
              <w:rStyle w:val="19"/>
            </w:rPr>
            <w:t>3.1</w:t>
          </w:r>
          <w:r>
            <w:rPr>
              <w:rStyle w:val="19"/>
              <w:rFonts w:hint="eastAsia"/>
            </w:rPr>
            <w:t>功能说明</w:t>
          </w:r>
          <w:r>
            <w:tab/>
          </w:r>
          <w:r>
            <w:fldChar w:fldCharType="begin"/>
          </w:r>
          <w:r>
            <w:instrText xml:space="preserve"> PAGEREF _Toc519752807 \h </w:instrText>
          </w:r>
          <w:r>
            <w:fldChar w:fldCharType="separate"/>
          </w:r>
          <w:r>
            <w:t>4</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"_Toc519752808" </w:instrText>
          </w:r>
          <w:r>
            <w:fldChar w:fldCharType="separate"/>
          </w:r>
          <w:r>
            <w:rPr>
              <w:rStyle w:val="19"/>
            </w:rPr>
            <w:t>3.2</w:t>
          </w:r>
          <w:r>
            <w:rPr>
              <w:rStyle w:val="19"/>
              <w:rFonts w:hint="eastAsia"/>
            </w:rPr>
            <w:t>菜单</w:t>
          </w:r>
          <w:r>
            <w:tab/>
          </w:r>
          <w:r>
            <w:fldChar w:fldCharType="begin"/>
          </w:r>
          <w:r>
            <w:instrText xml:space="preserve"> PAGEREF _Toc519752808 \h </w:instrText>
          </w:r>
          <w:r>
            <w:fldChar w:fldCharType="separate"/>
          </w:r>
          <w:r>
            <w:t>4</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"_Toc519752809" </w:instrText>
          </w:r>
          <w:r>
            <w:fldChar w:fldCharType="separate"/>
          </w:r>
          <w:r>
            <w:rPr>
              <w:rStyle w:val="19"/>
            </w:rPr>
            <w:t xml:space="preserve">3.3 </w:t>
          </w:r>
          <w:r>
            <w:rPr>
              <w:rStyle w:val="19"/>
              <w:rFonts w:hint="eastAsia"/>
            </w:rPr>
            <w:t>主页面</w:t>
          </w:r>
          <w:r>
            <w:tab/>
          </w:r>
          <w:r>
            <w:fldChar w:fldCharType="begin"/>
          </w:r>
          <w:r>
            <w:instrText xml:space="preserve"> PAGEREF _Toc519752809 \h </w:instrText>
          </w:r>
          <w:r>
            <w:fldChar w:fldCharType="separate"/>
          </w:r>
          <w:r>
            <w:t>5</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"_Toc519752810" </w:instrText>
          </w:r>
          <w:r>
            <w:fldChar w:fldCharType="separate"/>
          </w:r>
          <w:r>
            <w:rPr>
              <w:rStyle w:val="19"/>
            </w:rPr>
            <w:t xml:space="preserve">3.4 </w:t>
          </w:r>
          <w:r>
            <w:rPr>
              <w:rStyle w:val="19"/>
              <w:rFonts w:hint="eastAsia"/>
            </w:rPr>
            <w:t>添加人员信息</w:t>
          </w:r>
          <w:r>
            <w:tab/>
          </w:r>
          <w:r>
            <w:fldChar w:fldCharType="begin"/>
          </w:r>
          <w:r>
            <w:instrText xml:space="preserve"> PAGEREF _Toc519752810 \h </w:instrText>
          </w:r>
          <w:r>
            <w:fldChar w:fldCharType="separate"/>
          </w:r>
          <w:r>
            <w:t>5</w:t>
          </w:r>
          <w:r>
            <w:fldChar w:fldCharType="end"/>
          </w:r>
          <w:r>
            <w:fldChar w:fldCharType="end"/>
          </w:r>
        </w:p>
        <w:p>
          <w:pPr>
            <w:pStyle w:val="15"/>
            <w:tabs>
              <w:tab w:val="right" w:leader="dot" w:pos="8296"/>
            </w:tabs>
            <w:rPr>
              <w:rFonts w:asciiTheme="minorHAnsi" w:hAnsiTheme="minorHAnsi"/>
              <w:szCs w:val="22"/>
            </w:rPr>
          </w:pPr>
          <w:r>
            <w:fldChar w:fldCharType="begin"/>
          </w:r>
          <w:r>
            <w:instrText xml:space="preserve"> HYPERLINK \l "_Toc519752811" </w:instrText>
          </w:r>
          <w:r>
            <w:fldChar w:fldCharType="separate"/>
          </w:r>
          <w:r>
            <w:rPr>
              <w:rStyle w:val="19"/>
            </w:rPr>
            <w:t>3.5</w:t>
          </w:r>
          <w:r>
            <w:rPr>
              <w:rStyle w:val="19"/>
              <w:rFonts w:hint="eastAsia"/>
            </w:rPr>
            <w:t>人员信息说明</w:t>
          </w:r>
          <w:r>
            <w:tab/>
          </w:r>
          <w:r>
            <w:fldChar w:fldCharType="begin"/>
          </w:r>
          <w:r>
            <w:instrText xml:space="preserve"> PAGEREF _Toc519752811 \h </w:instrText>
          </w:r>
          <w:r>
            <w:fldChar w:fldCharType="separate"/>
          </w:r>
          <w:r>
            <w:t>6</w:t>
          </w:r>
          <w:r>
            <w:fldChar w:fldCharType="end"/>
          </w:r>
          <w:r>
            <w:fldChar w:fldCharType="end"/>
          </w:r>
        </w:p>
        <w:p>
          <w:pPr>
            <w:pStyle w:val="13"/>
            <w:tabs>
              <w:tab w:val="right" w:leader="dot" w:pos="8296"/>
            </w:tabs>
            <w:rPr>
              <w:rFonts w:asciiTheme="minorHAnsi" w:hAnsiTheme="minorHAnsi"/>
              <w:szCs w:val="22"/>
            </w:rPr>
          </w:pPr>
          <w:r>
            <w:fldChar w:fldCharType="begin"/>
          </w:r>
          <w:r>
            <w:instrText xml:space="preserve"> HYPERLINK \l "_Toc519752812" </w:instrText>
          </w:r>
          <w:r>
            <w:fldChar w:fldCharType="separate"/>
          </w:r>
          <w:r>
            <w:rPr>
              <w:rStyle w:val="19"/>
              <w:rFonts w:hint="eastAsia" w:ascii="宋体" w:hAnsi="宋体"/>
            </w:rPr>
            <w:t>第四章</w:t>
          </w:r>
          <w:r>
            <w:rPr>
              <w:rStyle w:val="19"/>
              <w:rFonts w:ascii="宋体" w:hAnsi="宋体"/>
            </w:rPr>
            <w:t xml:space="preserve"> </w:t>
          </w:r>
          <w:r>
            <w:rPr>
              <w:rStyle w:val="19"/>
              <w:rFonts w:hint="eastAsia" w:ascii="宋体" w:hAnsi="宋体"/>
            </w:rPr>
            <w:t>集体报名</w:t>
          </w:r>
          <w:r>
            <w:tab/>
          </w:r>
          <w:r>
            <w:fldChar w:fldCharType="begin"/>
          </w:r>
          <w:r>
            <w:instrText xml:space="preserve"> PAGEREF _Toc519752812 \h </w:instrText>
          </w:r>
          <w:r>
            <w:fldChar w:fldCharType="separate"/>
          </w:r>
          <w:r>
            <w:t>10</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"_Toc519752813" </w:instrText>
          </w:r>
          <w:r>
            <w:fldChar w:fldCharType="separate"/>
          </w:r>
          <w:r>
            <w:rPr>
              <w:rStyle w:val="19"/>
              <w:rFonts w:ascii="宋体" w:hAnsi="宋体"/>
            </w:rPr>
            <w:t xml:space="preserve">4.1 </w:t>
          </w:r>
          <w:r>
            <w:rPr>
              <w:rStyle w:val="19"/>
              <w:rFonts w:hint="eastAsia" w:ascii="宋体" w:hAnsi="宋体"/>
            </w:rPr>
            <w:t>功能说明</w:t>
          </w:r>
          <w:r>
            <w:tab/>
          </w:r>
          <w:r>
            <w:fldChar w:fldCharType="begin"/>
          </w:r>
          <w:r>
            <w:instrText xml:space="preserve"> PAGEREF _Toc519752813 \h </w:instrText>
          </w:r>
          <w:r>
            <w:fldChar w:fldCharType="separate"/>
          </w:r>
          <w:r>
            <w:t>10</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"_Toc519752814" </w:instrText>
          </w:r>
          <w:r>
            <w:fldChar w:fldCharType="separate"/>
          </w:r>
          <w:r>
            <w:rPr>
              <w:rStyle w:val="19"/>
              <w:rFonts w:ascii="宋体" w:hAnsi="宋体"/>
            </w:rPr>
            <w:t>4.2</w:t>
          </w:r>
          <w:r>
            <w:rPr>
              <w:rStyle w:val="19"/>
              <w:rFonts w:hint="eastAsia" w:ascii="宋体" w:hAnsi="宋体"/>
            </w:rPr>
            <w:t>菜单</w:t>
          </w:r>
          <w:r>
            <w:tab/>
          </w:r>
          <w:r>
            <w:fldChar w:fldCharType="begin"/>
          </w:r>
          <w:r>
            <w:instrText xml:space="preserve"> PAGEREF _Toc519752814 \h </w:instrText>
          </w:r>
          <w:r>
            <w:fldChar w:fldCharType="separate"/>
          </w:r>
          <w:r>
            <w:t>10</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"_Toc519752815" </w:instrText>
          </w:r>
          <w:r>
            <w:fldChar w:fldCharType="separate"/>
          </w:r>
          <w:r>
            <w:rPr>
              <w:rStyle w:val="19"/>
            </w:rPr>
            <w:t>4.3</w:t>
          </w:r>
          <w:r>
            <w:rPr>
              <w:rStyle w:val="19"/>
              <w:rFonts w:hint="eastAsia"/>
            </w:rPr>
            <w:t>主页面</w:t>
          </w:r>
          <w:r>
            <w:tab/>
          </w:r>
          <w:r>
            <w:fldChar w:fldCharType="begin"/>
          </w:r>
          <w:r>
            <w:instrText xml:space="preserve"> PAGEREF _Toc519752815 \h </w:instrText>
          </w:r>
          <w:r>
            <w:fldChar w:fldCharType="separate"/>
          </w:r>
          <w:r>
            <w:t>11</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"_Toc519752816" </w:instrText>
          </w:r>
          <w:r>
            <w:fldChar w:fldCharType="separate"/>
          </w:r>
          <w:r>
            <w:rPr>
              <w:rStyle w:val="19"/>
              <w:rFonts w:ascii="宋体" w:hAnsi="宋体"/>
            </w:rPr>
            <w:t>4.4</w:t>
          </w:r>
          <w:r>
            <w:rPr>
              <w:rStyle w:val="19"/>
              <w:rFonts w:hint="eastAsia" w:ascii="宋体" w:hAnsi="宋体"/>
            </w:rPr>
            <w:t>报名信息</w:t>
          </w:r>
          <w:r>
            <w:tab/>
          </w:r>
          <w:r>
            <w:fldChar w:fldCharType="begin"/>
          </w:r>
          <w:r>
            <w:instrText xml:space="preserve"> PAGEREF _Toc519752816 \h </w:instrText>
          </w:r>
          <w:r>
            <w:fldChar w:fldCharType="separate"/>
          </w:r>
          <w:r>
            <w:t>12</w:t>
          </w:r>
          <w:r>
            <w:fldChar w:fldCharType="end"/>
          </w:r>
          <w:r>
            <w:fldChar w:fldCharType="end"/>
          </w:r>
        </w:p>
        <w:p>
          <w:pPr>
            <w:pStyle w:val="13"/>
            <w:tabs>
              <w:tab w:val="right" w:leader="dot" w:pos="8296"/>
            </w:tabs>
            <w:rPr>
              <w:rFonts w:asciiTheme="minorHAnsi" w:hAnsiTheme="minorHAnsi"/>
              <w:szCs w:val="22"/>
            </w:rPr>
          </w:pPr>
          <w:r>
            <w:fldChar w:fldCharType="begin"/>
          </w:r>
          <w:r>
            <w:instrText xml:space="preserve"> HYPERLINK \l "_Toc519752817" </w:instrText>
          </w:r>
          <w:r>
            <w:fldChar w:fldCharType="separate"/>
          </w:r>
          <w:r>
            <w:rPr>
              <w:rStyle w:val="19"/>
              <w:rFonts w:hint="eastAsia" w:ascii="宋体" w:hAnsi="宋体"/>
            </w:rPr>
            <w:t>第五章</w:t>
          </w:r>
          <w:r>
            <w:rPr>
              <w:rStyle w:val="19"/>
              <w:rFonts w:ascii="宋体" w:hAnsi="宋体"/>
            </w:rPr>
            <w:t xml:space="preserve"> </w:t>
          </w:r>
          <w:r>
            <w:rPr>
              <w:rStyle w:val="19"/>
              <w:rFonts w:hint="eastAsia" w:ascii="宋体" w:hAnsi="宋体"/>
            </w:rPr>
            <w:t>集体选班</w:t>
          </w:r>
          <w:r>
            <w:tab/>
          </w:r>
          <w:r>
            <w:fldChar w:fldCharType="begin"/>
          </w:r>
          <w:r>
            <w:instrText xml:space="preserve"> PAGEREF _Toc519752817 \h </w:instrText>
          </w:r>
          <w:r>
            <w:fldChar w:fldCharType="separate"/>
          </w:r>
          <w:r>
            <w:t>15</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"_Toc519752818" </w:instrText>
          </w:r>
          <w:r>
            <w:fldChar w:fldCharType="separate"/>
          </w:r>
          <w:r>
            <w:rPr>
              <w:rStyle w:val="19"/>
              <w:rFonts w:ascii="宋体" w:hAnsi="宋体"/>
            </w:rPr>
            <w:t xml:space="preserve">5.1 </w:t>
          </w:r>
          <w:r>
            <w:rPr>
              <w:rStyle w:val="19"/>
              <w:rFonts w:hint="eastAsia" w:ascii="宋体" w:hAnsi="宋体"/>
            </w:rPr>
            <w:t>功能说明</w:t>
          </w:r>
          <w:r>
            <w:tab/>
          </w:r>
          <w:r>
            <w:fldChar w:fldCharType="begin"/>
          </w:r>
          <w:r>
            <w:instrText xml:space="preserve"> PAGEREF _Toc519752818 \h </w:instrText>
          </w:r>
          <w:r>
            <w:fldChar w:fldCharType="separate"/>
          </w:r>
          <w:r>
            <w:t>15</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"_Toc519752819" </w:instrText>
          </w:r>
          <w:r>
            <w:fldChar w:fldCharType="separate"/>
          </w:r>
          <w:r>
            <w:rPr>
              <w:rStyle w:val="19"/>
              <w:rFonts w:ascii="宋体" w:hAnsi="宋体"/>
            </w:rPr>
            <w:t xml:space="preserve">5.2 </w:t>
          </w:r>
          <w:r>
            <w:rPr>
              <w:rStyle w:val="19"/>
              <w:rFonts w:hint="eastAsia" w:ascii="宋体" w:hAnsi="宋体"/>
            </w:rPr>
            <w:t>菜单</w:t>
          </w:r>
          <w:r>
            <w:tab/>
          </w:r>
          <w:r>
            <w:fldChar w:fldCharType="begin"/>
          </w:r>
          <w:r>
            <w:instrText xml:space="preserve"> PAGEREF _Toc519752819 \h </w:instrText>
          </w:r>
          <w:r>
            <w:fldChar w:fldCharType="separate"/>
          </w:r>
          <w:r>
            <w:t>15</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"_Toc519752820" </w:instrText>
          </w:r>
          <w:r>
            <w:fldChar w:fldCharType="separate"/>
          </w:r>
          <w:r>
            <w:rPr>
              <w:rStyle w:val="19"/>
              <w:rFonts w:ascii="宋体" w:hAnsi="宋体"/>
            </w:rPr>
            <w:t xml:space="preserve">5.3 </w:t>
          </w:r>
          <w:r>
            <w:rPr>
              <w:rStyle w:val="19"/>
              <w:rFonts w:hint="eastAsia" w:ascii="宋体" w:hAnsi="宋体"/>
            </w:rPr>
            <w:t>主页面</w:t>
          </w:r>
          <w:r>
            <w:tab/>
          </w:r>
          <w:r>
            <w:fldChar w:fldCharType="begin"/>
          </w:r>
          <w:r>
            <w:instrText xml:space="preserve"> PAGEREF _Toc519752820 \h </w:instrText>
          </w:r>
          <w:r>
            <w:fldChar w:fldCharType="separate"/>
          </w:r>
          <w:r>
            <w:t>15</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"_Toc519752821" </w:instrText>
          </w:r>
          <w:r>
            <w:fldChar w:fldCharType="separate"/>
          </w:r>
          <w:r>
            <w:rPr>
              <w:rStyle w:val="19"/>
              <w:rFonts w:ascii="宋体" w:hAnsi="宋体"/>
            </w:rPr>
            <w:t xml:space="preserve">5.4 </w:t>
          </w:r>
          <w:r>
            <w:rPr>
              <w:rStyle w:val="19"/>
              <w:rFonts w:hint="eastAsia" w:ascii="宋体" w:hAnsi="宋体"/>
            </w:rPr>
            <w:t>选班详情</w:t>
          </w:r>
          <w:r>
            <w:tab/>
          </w:r>
          <w:r>
            <w:fldChar w:fldCharType="begin"/>
          </w:r>
          <w:r>
            <w:instrText xml:space="preserve"> PAGEREF _Toc519752821 \h </w:instrText>
          </w:r>
          <w:r>
            <w:fldChar w:fldCharType="separate"/>
          </w:r>
          <w:r>
            <w:t>16</w:t>
          </w:r>
          <w:r>
            <w:fldChar w:fldCharType="end"/>
          </w:r>
          <w:r>
            <w:fldChar w:fldCharType="end"/>
          </w:r>
        </w:p>
        <w:p>
          <w:pPr>
            <w:pStyle w:val="13"/>
            <w:tabs>
              <w:tab w:val="right" w:leader="dot" w:pos="8296"/>
            </w:tabs>
            <w:rPr>
              <w:rFonts w:asciiTheme="minorHAnsi" w:hAnsiTheme="minorHAnsi"/>
              <w:szCs w:val="22"/>
            </w:rPr>
          </w:pPr>
          <w:r>
            <w:fldChar w:fldCharType="begin"/>
          </w:r>
          <w:r>
            <w:instrText xml:space="preserve"> HYPERLINK \l "_Toc519752822" </w:instrText>
          </w:r>
          <w:r>
            <w:fldChar w:fldCharType="separate"/>
          </w:r>
          <w:r>
            <w:rPr>
              <w:rStyle w:val="19"/>
              <w:rFonts w:hint="eastAsia" w:ascii="宋体" w:hAnsi="宋体"/>
            </w:rPr>
            <w:t>第六章</w:t>
          </w:r>
          <w:r>
            <w:rPr>
              <w:rStyle w:val="19"/>
              <w:rFonts w:ascii="宋体" w:hAnsi="宋体"/>
            </w:rPr>
            <w:t xml:space="preserve"> </w:t>
          </w:r>
          <w:r>
            <w:rPr>
              <w:rStyle w:val="19"/>
              <w:rFonts w:hint="eastAsia" w:ascii="宋体" w:hAnsi="宋体"/>
            </w:rPr>
            <w:t>集体成绩查询</w:t>
          </w:r>
          <w:r>
            <w:tab/>
          </w:r>
          <w:r>
            <w:fldChar w:fldCharType="begin"/>
          </w:r>
          <w:r>
            <w:instrText xml:space="preserve"> PAGEREF _Toc519752822 \h </w:instrText>
          </w:r>
          <w:r>
            <w:fldChar w:fldCharType="separate"/>
          </w:r>
          <w:r>
            <w:t>18</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"_Toc519752823" </w:instrText>
          </w:r>
          <w:r>
            <w:fldChar w:fldCharType="separate"/>
          </w:r>
          <w:r>
            <w:rPr>
              <w:rStyle w:val="19"/>
              <w:rFonts w:ascii="宋体" w:hAnsi="宋体"/>
            </w:rPr>
            <w:t>6.1</w:t>
          </w:r>
          <w:r>
            <w:rPr>
              <w:rStyle w:val="19"/>
              <w:rFonts w:hint="eastAsia" w:ascii="宋体" w:hAnsi="宋体"/>
            </w:rPr>
            <w:t>功能说明</w:t>
          </w:r>
          <w:r>
            <w:tab/>
          </w:r>
          <w:r>
            <w:fldChar w:fldCharType="begin"/>
          </w:r>
          <w:r>
            <w:instrText xml:space="preserve"> PAGEREF _Toc519752823 \h </w:instrText>
          </w:r>
          <w:r>
            <w:fldChar w:fldCharType="separate"/>
          </w:r>
          <w:r>
            <w:t>18</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"_Toc519752824" </w:instrText>
          </w:r>
          <w:r>
            <w:fldChar w:fldCharType="separate"/>
          </w:r>
          <w:r>
            <w:rPr>
              <w:rStyle w:val="19"/>
              <w:rFonts w:ascii="宋体" w:hAnsi="宋体"/>
            </w:rPr>
            <w:t xml:space="preserve">6.2 </w:t>
          </w:r>
          <w:r>
            <w:rPr>
              <w:rStyle w:val="19"/>
              <w:rFonts w:hint="eastAsia" w:ascii="宋体" w:hAnsi="宋体"/>
            </w:rPr>
            <w:t>菜单</w:t>
          </w:r>
          <w:r>
            <w:tab/>
          </w:r>
          <w:r>
            <w:fldChar w:fldCharType="begin"/>
          </w:r>
          <w:r>
            <w:instrText xml:space="preserve"> PAGEREF _Toc519752824 \h </w:instrText>
          </w:r>
          <w:r>
            <w:fldChar w:fldCharType="separate"/>
          </w:r>
          <w:r>
            <w:t>19</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"_Toc519752825" </w:instrText>
          </w:r>
          <w:r>
            <w:fldChar w:fldCharType="separate"/>
          </w:r>
          <w:r>
            <w:rPr>
              <w:rStyle w:val="19"/>
              <w:rFonts w:ascii="宋体" w:hAnsi="宋体"/>
            </w:rPr>
            <w:t>6.3</w:t>
          </w:r>
          <w:r>
            <w:rPr>
              <w:rStyle w:val="19"/>
              <w:rFonts w:hint="eastAsia" w:ascii="宋体" w:hAnsi="宋体"/>
            </w:rPr>
            <w:t>主页面</w:t>
          </w:r>
          <w:r>
            <w:tab/>
          </w:r>
          <w:r>
            <w:fldChar w:fldCharType="begin"/>
          </w:r>
          <w:r>
            <w:instrText xml:space="preserve"> PAGEREF _Toc519752825 \h </w:instrText>
          </w:r>
          <w:r>
            <w:fldChar w:fldCharType="separate"/>
          </w:r>
          <w:r>
            <w:t>19</w:t>
          </w:r>
          <w:r>
            <w:fldChar w:fldCharType="end"/>
          </w:r>
          <w:r>
            <w:fldChar w:fldCharType="end"/>
          </w:r>
        </w:p>
        <w:p>
          <w:pPr>
            <w:pStyle w:val="8"/>
            <w:tabs>
              <w:tab w:val="right" w:leader="dot" w:pos="8296"/>
            </w:tabs>
            <w:rPr>
              <w:rFonts w:asciiTheme="minorHAnsi" w:hAnsiTheme="minorHAnsi"/>
              <w:szCs w:val="22"/>
            </w:rPr>
          </w:pPr>
          <w:r>
            <w:fldChar w:fldCharType="begin"/>
          </w:r>
          <w:r>
            <w:instrText xml:space="preserve"> HYPERLINK \l "_Toc519752826" </w:instrText>
          </w:r>
          <w:r>
            <w:fldChar w:fldCharType="separate"/>
          </w:r>
          <w:r>
            <w:rPr>
              <w:rStyle w:val="19"/>
              <w:rFonts w:ascii="宋体" w:hAnsi="宋体"/>
            </w:rPr>
            <w:t xml:space="preserve">6.4 </w:t>
          </w:r>
          <w:r>
            <w:rPr>
              <w:rStyle w:val="19"/>
              <w:rFonts w:hint="eastAsia" w:ascii="宋体" w:hAnsi="宋体"/>
            </w:rPr>
            <w:t>成绩查看</w:t>
          </w:r>
          <w:r>
            <w:tab/>
          </w:r>
          <w:r>
            <w:fldChar w:fldCharType="begin"/>
          </w:r>
          <w:r>
            <w:instrText xml:space="preserve"> PAGEREF _Toc519752826 \h </w:instrText>
          </w:r>
          <w:r>
            <w:fldChar w:fldCharType="separate"/>
          </w:r>
          <w:r>
            <w:t>20</w:t>
          </w:r>
          <w:r>
            <w:fldChar w:fldCharType="end"/>
          </w:r>
          <w:r>
            <w:fldChar w:fldCharType="end"/>
          </w:r>
        </w:p>
        <w:p>
          <w:r>
            <w:rPr>
              <w:b/>
              <w:bCs/>
              <w:lang w:val="zh-CN"/>
            </w:rPr>
            <w:fldChar w:fldCharType="end"/>
          </w:r>
        </w:p>
      </w:sdtContent>
    </w:sdt>
    <w:p>
      <w:pPr>
        <w:pStyle w:val="2"/>
        <w:pageBreakBefore/>
        <w:spacing w:before="156" w:after="156"/>
        <w:ind w:firstLine="2409" w:firstLineChars="500"/>
        <w:jc w:val="both"/>
        <w:rPr>
          <w:rFonts w:ascii="宋体" w:hAnsi="宋体"/>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2"/>
        <w:pageBreakBefore/>
        <w:spacing w:before="156" w:after="156"/>
        <w:ind w:firstLine="2409" w:firstLineChars="500"/>
        <w:jc w:val="both"/>
        <w:rPr>
          <w:rFonts w:ascii="宋体" w:hAnsi="宋体"/>
        </w:rPr>
      </w:pPr>
      <w:bookmarkStart w:id="6" w:name="_Toc519752797"/>
      <w:r>
        <w:rPr>
          <w:rFonts w:hint="eastAsia" w:ascii="宋体" w:hAnsi="宋体"/>
        </w:rPr>
        <w:t>第一章 前言</w:t>
      </w:r>
      <w:bookmarkEnd w:id="0"/>
      <w:bookmarkEnd w:id="1"/>
      <w:bookmarkEnd w:id="2"/>
      <w:bookmarkEnd w:id="3"/>
      <w:bookmarkEnd w:id="4"/>
      <w:bookmarkEnd w:id="5"/>
      <w:bookmarkEnd w:id="6"/>
    </w:p>
    <w:p>
      <w:pPr>
        <w:spacing w:line="360" w:lineRule="auto"/>
        <w:ind w:firstLine="420" w:firstLineChars="200"/>
        <w:rPr>
          <w:rFonts w:ascii="宋体" w:hAnsi="宋体"/>
        </w:rPr>
      </w:pPr>
      <w:r>
        <w:rPr>
          <w:rFonts w:hint="eastAsia" w:ascii="宋体" w:hAnsi="宋体"/>
        </w:rPr>
        <w:t>技术人员培训管理模块在线实现职业卫生继续教育的通知、网上报名注册、分期排班（参训名单安排）、成绩录入、合格证书打印等无纸化办公功能。</w:t>
      </w:r>
    </w:p>
    <w:p>
      <w:pPr>
        <w:spacing w:line="360" w:lineRule="auto"/>
        <w:ind w:firstLine="420" w:firstLineChars="200"/>
        <w:rPr>
          <w:rFonts w:ascii="宋体" w:hAnsi="宋体"/>
        </w:rPr>
      </w:pPr>
      <w:r>
        <w:rPr>
          <w:rFonts w:hint="eastAsia" w:ascii="宋体" w:hAnsi="宋体"/>
        </w:rPr>
        <w:t>本系统部署方式为统一服务器部署，用户计算机上不需要安装本系统和任何特殊的软件，只要具备以下硬件和软件环境，通过浏览器输入指定的网址，就可使用本系统。</w:t>
      </w:r>
    </w:p>
    <w:p>
      <w:pPr>
        <w:pStyle w:val="3"/>
        <w:spacing w:before="156" w:after="156"/>
        <w:rPr>
          <w:rFonts w:ascii="宋体" w:hAnsi="宋体"/>
        </w:rPr>
      </w:pPr>
      <w:bookmarkStart w:id="7" w:name="_Toc508986497"/>
      <w:bookmarkStart w:id="8" w:name="_Toc476043563"/>
      <w:bookmarkStart w:id="9" w:name="_Toc477787265"/>
      <w:bookmarkStart w:id="10" w:name="_Toc478474698"/>
      <w:bookmarkStart w:id="11" w:name="_Toc519752798"/>
      <w:bookmarkStart w:id="12" w:name="_Toc478474650"/>
      <w:bookmarkStart w:id="13" w:name="_Toc478716931"/>
      <w:r>
        <w:rPr>
          <w:rFonts w:hint="eastAsia" w:ascii="宋体" w:hAnsi="宋体"/>
        </w:rPr>
        <w:t>1.1  用户计算机硬件要求</w:t>
      </w:r>
      <w:bookmarkEnd w:id="7"/>
      <w:bookmarkEnd w:id="8"/>
      <w:bookmarkEnd w:id="9"/>
      <w:bookmarkEnd w:id="10"/>
      <w:bookmarkEnd w:id="11"/>
      <w:bookmarkEnd w:id="12"/>
      <w:bookmarkEnd w:id="13"/>
    </w:p>
    <w:p>
      <w:pPr>
        <w:spacing w:line="360" w:lineRule="auto"/>
        <w:rPr>
          <w:rFonts w:ascii="宋体" w:hAnsi="宋体"/>
        </w:rPr>
      </w:pPr>
      <w:r>
        <w:rPr>
          <w:rFonts w:hint="eastAsia" w:ascii="宋体" w:hAnsi="宋体"/>
        </w:rPr>
        <w:t xml:space="preserve">CPU： </w:t>
      </w:r>
      <w:r>
        <w:rPr>
          <w:rFonts w:ascii="宋体" w:hAnsi="宋体"/>
        </w:rPr>
        <w:t>1.5</w:t>
      </w:r>
      <w:r>
        <w:rPr>
          <w:rFonts w:hint="eastAsia" w:ascii="宋体" w:hAnsi="宋体"/>
        </w:rPr>
        <w:t>G 以上</w:t>
      </w:r>
    </w:p>
    <w:p>
      <w:pPr>
        <w:spacing w:line="360" w:lineRule="auto"/>
        <w:rPr>
          <w:rFonts w:ascii="宋体" w:hAnsi="宋体"/>
        </w:rPr>
      </w:pPr>
      <w:r>
        <w:rPr>
          <w:rFonts w:hint="eastAsia" w:ascii="宋体" w:hAnsi="宋体"/>
        </w:rPr>
        <w:t>内存：</w:t>
      </w:r>
      <w:r>
        <w:rPr>
          <w:rFonts w:ascii="宋体" w:hAnsi="宋体"/>
        </w:rPr>
        <w:t>2G</w:t>
      </w:r>
      <w:r>
        <w:rPr>
          <w:rFonts w:hint="eastAsia" w:ascii="宋体" w:hAnsi="宋体"/>
        </w:rPr>
        <w:t xml:space="preserve"> 以上</w:t>
      </w:r>
    </w:p>
    <w:p>
      <w:pPr>
        <w:spacing w:line="360" w:lineRule="auto"/>
        <w:rPr>
          <w:rFonts w:ascii="宋体" w:hAnsi="宋体"/>
        </w:rPr>
      </w:pPr>
      <w:r>
        <w:rPr>
          <w:rFonts w:hint="eastAsia" w:ascii="宋体" w:hAnsi="宋体"/>
        </w:rPr>
        <w:t>硬盘：2</w:t>
      </w:r>
      <w:r>
        <w:rPr>
          <w:rFonts w:ascii="宋体" w:hAnsi="宋体"/>
        </w:rPr>
        <w:t>0</w:t>
      </w:r>
      <w:r>
        <w:rPr>
          <w:rFonts w:hint="eastAsia" w:ascii="宋体" w:hAnsi="宋体"/>
        </w:rPr>
        <w:t>0G 以上</w:t>
      </w:r>
    </w:p>
    <w:p>
      <w:pPr>
        <w:spacing w:line="360" w:lineRule="auto"/>
        <w:rPr>
          <w:rFonts w:ascii="宋体" w:hAnsi="宋体"/>
        </w:rPr>
      </w:pPr>
      <w:r>
        <w:rPr>
          <w:rFonts w:hint="eastAsia" w:ascii="宋体" w:hAnsi="宋体"/>
        </w:rPr>
        <w:t>分辨率：1</w:t>
      </w:r>
      <w:r>
        <w:rPr>
          <w:rFonts w:ascii="宋体" w:hAnsi="宋体"/>
        </w:rPr>
        <w:t>280</w:t>
      </w:r>
      <w:r>
        <w:rPr>
          <w:rFonts w:hint="eastAsia" w:ascii="宋体" w:hAnsi="宋体"/>
        </w:rPr>
        <w:t>×</w:t>
      </w:r>
      <w:r>
        <w:rPr>
          <w:rFonts w:ascii="宋体" w:hAnsi="宋体"/>
        </w:rPr>
        <w:t>1024</w:t>
      </w:r>
      <w:r>
        <w:rPr>
          <w:rFonts w:hint="eastAsia" w:ascii="宋体" w:hAnsi="宋体"/>
        </w:rPr>
        <w:t xml:space="preserve"> 或以上</w:t>
      </w:r>
    </w:p>
    <w:p>
      <w:pPr>
        <w:spacing w:line="360" w:lineRule="auto"/>
        <w:rPr>
          <w:rFonts w:ascii="宋体" w:hAnsi="宋体"/>
        </w:rPr>
      </w:pPr>
      <w:r>
        <w:rPr>
          <w:rFonts w:hint="eastAsia" w:ascii="宋体" w:hAnsi="宋体"/>
        </w:rPr>
        <w:t>打印机：建议 A4 激光打印机</w:t>
      </w:r>
    </w:p>
    <w:p>
      <w:pPr>
        <w:spacing w:line="360" w:lineRule="auto"/>
        <w:rPr>
          <w:rFonts w:ascii="宋体" w:hAnsi="宋体"/>
        </w:rPr>
      </w:pPr>
      <w:r>
        <w:rPr>
          <w:rFonts w:hint="eastAsia" w:ascii="宋体" w:hAnsi="宋体"/>
        </w:rPr>
        <w:t>上网设备：拨号、 ISDN、 ADSL、宽带局域网、专线。</w:t>
      </w:r>
    </w:p>
    <w:p>
      <w:pPr>
        <w:pStyle w:val="3"/>
        <w:spacing w:before="156" w:after="156"/>
        <w:rPr>
          <w:rFonts w:ascii="宋体" w:hAnsi="宋体"/>
        </w:rPr>
      </w:pPr>
      <w:bookmarkStart w:id="14" w:name="_Toc478716932"/>
      <w:bookmarkStart w:id="15" w:name="_Toc478474651"/>
      <w:bookmarkStart w:id="16" w:name="_Toc478474699"/>
      <w:bookmarkStart w:id="17" w:name="_Toc477787266"/>
      <w:bookmarkStart w:id="18" w:name="_Toc519752799"/>
      <w:bookmarkStart w:id="19" w:name="_Toc508986498"/>
      <w:bookmarkStart w:id="20" w:name="_Toc476043564"/>
      <w:r>
        <w:rPr>
          <w:rFonts w:hint="eastAsia" w:ascii="宋体" w:hAnsi="宋体"/>
        </w:rPr>
        <w:t>1.2  用户计算机软件要求</w:t>
      </w:r>
      <w:bookmarkEnd w:id="14"/>
      <w:bookmarkEnd w:id="15"/>
      <w:bookmarkEnd w:id="16"/>
      <w:bookmarkEnd w:id="17"/>
      <w:bookmarkEnd w:id="18"/>
      <w:bookmarkEnd w:id="19"/>
      <w:bookmarkEnd w:id="20"/>
    </w:p>
    <w:p>
      <w:pPr>
        <w:spacing w:line="360" w:lineRule="auto"/>
        <w:rPr>
          <w:rFonts w:ascii="宋体" w:hAnsi="宋体"/>
        </w:rPr>
      </w:pPr>
      <w:r>
        <w:rPr>
          <w:rFonts w:hint="eastAsia" w:ascii="宋体" w:hAnsi="宋体"/>
        </w:rPr>
        <w:t>操作系统：Windows XP 或 Windows 2003、 win7、Win8、Win10</w:t>
      </w:r>
    </w:p>
    <w:p>
      <w:pPr>
        <w:spacing w:line="360" w:lineRule="auto"/>
        <w:rPr>
          <w:rFonts w:ascii="宋体" w:hAnsi="宋体"/>
        </w:rPr>
      </w:pPr>
      <w:r>
        <w:rPr>
          <w:rFonts w:hint="eastAsia" w:ascii="宋体" w:hAnsi="宋体"/>
        </w:rPr>
        <w:t>支持软件：Office 200</w:t>
      </w:r>
      <w:r>
        <w:rPr>
          <w:rFonts w:ascii="宋体" w:hAnsi="宋体"/>
        </w:rPr>
        <w:t>7</w:t>
      </w:r>
      <w:r>
        <w:rPr>
          <w:rFonts w:hint="eastAsia" w:ascii="宋体" w:hAnsi="宋体"/>
        </w:rPr>
        <w:t xml:space="preserve"> 或以上版本</w:t>
      </w:r>
    </w:p>
    <w:p>
      <w:pPr>
        <w:spacing w:line="360" w:lineRule="auto"/>
        <w:rPr>
          <w:rFonts w:ascii="宋体" w:hAnsi="宋体"/>
        </w:rPr>
      </w:pPr>
      <w:r>
        <w:rPr>
          <w:rFonts w:hint="eastAsia" w:ascii="宋体" w:hAnsi="宋体"/>
        </w:rPr>
        <w:t>浏览器要求：本系统不支持IE系列浏览器，需要使用带有</w:t>
      </w:r>
      <w:r>
        <w:rPr>
          <w:rFonts w:hint="eastAsia" w:ascii="宋体" w:hAnsi="宋体"/>
          <w:b/>
          <w:bCs/>
          <w:color w:val="FF0000"/>
        </w:rPr>
        <w:t>极速模式</w:t>
      </w:r>
      <w:r>
        <w:rPr>
          <w:rFonts w:hint="eastAsia" w:ascii="宋体" w:hAnsi="宋体"/>
        </w:rPr>
        <w:t>的浏览器，</w:t>
      </w:r>
      <w:r>
        <w:rPr>
          <w:rFonts w:hint="eastAsia" w:ascii="宋体" w:hAnsi="宋体"/>
          <w:b/>
        </w:rPr>
        <w:t>推荐使用360安全浏览器</w:t>
      </w:r>
      <w:r>
        <w:rPr>
          <w:rFonts w:hint="eastAsia" w:ascii="宋体" w:hAnsi="宋体"/>
        </w:rPr>
        <w:t>，并在</w:t>
      </w:r>
      <w:r>
        <w:rPr>
          <w:rFonts w:hint="eastAsia" w:ascii="宋体" w:hAnsi="宋体"/>
          <w:b/>
          <w:color w:val="FF0000"/>
        </w:rPr>
        <w:t>极速模式</w:t>
      </w:r>
      <w:r>
        <w:rPr>
          <w:rFonts w:hint="eastAsia" w:ascii="宋体" w:hAnsi="宋体"/>
        </w:rPr>
        <w:t>下使用。</w:t>
      </w:r>
    </w:p>
    <w:p>
      <w:pPr>
        <w:spacing w:line="360" w:lineRule="auto"/>
        <w:rPr>
          <w:rFonts w:ascii="宋体" w:hAnsi="宋体"/>
        </w:rPr>
      </w:pPr>
      <w:r>
        <w:rPr>
          <w:rFonts w:hint="eastAsia" w:ascii="宋体" w:hAnsi="宋体"/>
        </w:rPr>
        <w:t>极速模式切换方法如下图所示：</w:t>
      </w:r>
    </w:p>
    <w:p>
      <w:pPr>
        <w:spacing w:line="360" w:lineRule="auto"/>
        <w:rPr>
          <w:rFonts w:ascii="宋体" w:hAnsi="宋体"/>
        </w:rPr>
      </w:pPr>
      <w:r>
        <w:rPr>
          <w:rFonts w:hint="eastAsia" w:ascii="宋体" w:hAnsi="宋体"/>
        </w:rPr>
        <w:drawing>
          <wp:inline distT="0" distB="0" distL="114300" distR="114300">
            <wp:extent cx="5269230" cy="525780"/>
            <wp:effectExtent l="19050" t="19050" r="26670" b="26670"/>
            <wp:docPr id="1" name="图片 1" descr="极限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极限A"/>
                    <pic:cNvPicPr>
                      <a:picLocks noChangeAspect="1"/>
                    </pic:cNvPicPr>
                  </pic:nvPicPr>
                  <pic:blipFill>
                    <a:blip r:embed="rId7"/>
                    <a:stretch>
                      <a:fillRect/>
                    </a:stretch>
                  </pic:blipFill>
                  <pic:spPr>
                    <a:xfrm>
                      <a:off x="0" y="0"/>
                      <a:ext cx="5269230" cy="525780"/>
                    </a:xfrm>
                    <a:prstGeom prst="rect">
                      <a:avLst/>
                    </a:prstGeom>
                    <a:noFill/>
                    <a:ln w="6350">
                      <a:solidFill>
                        <a:schemeClr val="tx1"/>
                      </a:solidFill>
                    </a:ln>
                  </pic:spPr>
                </pic:pic>
              </a:graphicData>
            </a:graphic>
          </wp:inline>
        </w:drawing>
      </w:r>
    </w:p>
    <w:p>
      <w:pPr>
        <w:pStyle w:val="3"/>
        <w:spacing w:before="156" w:after="156"/>
        <w:rPr>
          <w:rFonts w:ascii="宋体" w:hAnsi="宋体"/>
        </w:rPr>
      </w:pPr>
      <w:bookmarkStart w:id="21" w:name="_Toc519752800"/>
      <w:bookmarkStart w:id="22" w:name="_Toc508986499"/>
      <w:r>
        <w:rPr>
          <w:rFonts w:hint="eastAsia" w:ascii="宋体" w:hAnsi="宋体"/>
        </w:rPr>
        <w:t>1.3</w:t>
      </w:r>
      <w:r>
        <w:rPr>
          <w:rFonts w:hint="eastAsia" w:ascii="宋体" w:hAnsi="宋体"/>
        </w:rPr>
        <w:tab/>
      </w:r>
      <w:r>
        <w:rPr>
          <w:rFonts w:hint="eastAsia" w:ascii="宋体" w:hAnsi="宋体"/>
        </w:rPr>
        <w:t>总体业务流程说明</w:t>
      </w:r>
      <w:bookmarkEnd w:id="21"/>
      <w:bookmarkEnd w:id="22"/>
    </w:p>
    <w:p>
      <w:pPr>
        <w:pStyle w:val="6"/>
        <w:numPr>
          <w:ilvl w:val="0"/>
          <w:numId w:val="1"/>
        </w:numPr>
        <w:spacing w:after="80" w:line="360" w:lineRule="auto"/>
        <w:ind w:left="902"/>
        <w:rPr>
          <w:rFonts w:ascii="宋体" w:hAnsi="宋体"/>
          <w:sz w:val="21"/>
          <w:szCs w:val="21"/>
        </w:rPr>
      </w:pPr>
      <w:r>
        <w:rPr>
          <w:rFonts w:hint="eastAsia" w:ascii="宋体" w:hAnsi="宋体"/>
          <w:sz w:val="21"/>
          <w:szCs w:val="21"/>
        </w:rPr>
        <w:t>完善人员信息</w:t>
      </w:r>
    </w:p>
    <w:p>
      <w:pPr>
        <w:pStyle w:val="6"/>
        <w:tabs>
          <w:tab w:val="left" w:pos="900"/>
        </w:tabs>
        <w:spacing w:after="80" w:line="360" w:lineRule="auto"/>
        <w:ind w:left="482" w:firstLine="0"/>
        <w:rPr>
          <w:rFonts w:ascii="宋体" w:hAnsi="宋体"/>
          <w:sz w:val="21"/>
          <w:szCs w:val="21"/>
        </w:rPr>
      </w:pPr>
      <w:r>
        <w:rPr>
          <w:rFonts w:hint="eastAsia" w:ascii="宋体" w:hAnsi="宋体"/>
          <w:sz w:val="21"/>
          <w:szCs w:val="21"/>
        </w:rPr>
        <w:t>用于注册个人以及单位录入技术人员信息，省疾控审核报名人员时会查看到填写的个人信息</w:t>
      </w:r>
    </w:p>
    <w:p>
      <w:pPr>
        <w:pStyle w:val="6"/>
        <w:numPr>
          <w:ilvl w:val="0"/>
          <w:numId w:val="1"/>
        </w:numPr>
        <w:spacing w:before="120" w:after="80" w:line="360" w:lineRule="auto"/>
        <w:ind w:left="902"/>
        <w:rPr>
          <w:rFonts w:ascii="宋体" w:hAnsi="宋体"/>
          <w:sz w:val="21"/>
          <w:szCs w:val="21"/>
        </w:rPr>
      </w:pPr>
      <w:r>
        <w:rPr>
          <w:rFonts w:hint="eastAsia" w:ascii="宋体" w:hAnsi="宋体"/>
          <w:sz w:val="21"/>
          <w:szCs w:val="21"/>
        </w:rPr>
        <w:t>集体报名</w:t>
      </w:r>
    </w:p>
    <w:p>
      <w:pPr>
        <w:spacing w:line="360" w:lineRule="auto"/>
        <w:ind w:firstLine="420"/>
        <w:rPr>
          <w:rFonts w:ascii="宋体" w:hAnsi="宋体"/>
          <w:szCs w:val="21"/>
        </w:rPr>
      </w:pPr>
      <w:r>
        <w:rPr>
          <w:rFonts w:hint="eastAsia" w:ascii="宋体" w:hAnsi="宋体"/>
          <w:szCs w:val="21"/>
        </w:rPr>
        <w:t>用于单位对已发布的培训计划进行报名，选择培训专业以及填写报名信息，提交省疾控审批。</w:t>
      </w:r>
    </w:p>
    <w:p>
      <w:pPr>
        <w:pStyle w:val="6"/>
        <w:numPr>
          <w:ilvl w:val="0"/>
          <w:numId w:val="1"/>
        </w:numPr>
        <w:spacing w:before="120" w:after="80" w:line="360" w:lineRule="auto"/>
        <w:ind w:left="902"/>
        <w:rPr>
          <w:rFonts w:ascii="宋体" w:hAnsi="宋体"/>
          <w:sz w:val="21"/>
          <w:szCs w:val="21"/>
        </w:rPr>
      </w:pPr>
      <w:r>
        <w:rPr>
          <w:rFonts w:hint="eastAsia" w:ascii="宋体" w:hAnsi="宋体"/>
          <w:sz w:val="21"/>
          <w:szCs w:val="21"/>
        </w:rPr>
        <w:t>集体选班</w:t>
      </w:r>
    </w:p>
    <w:p>
      <w:pPr>
        <w:pStyle w:val="6"/>
        <w:spacing w:line="360" w:lineRule="auto"/>
        <w:ind w:firstLine="420"/>
        <w:rPr>
          <w:rFonts w:ascii="宋体" w:hAnsi="宋体"/>
          <w:sz w:val="21"/>
          <w:szCs w:val="21"/>
        </w:rPr>
      </w:pPr>
      <w:r>
        <w:rPr>
          <w:rFonts w:hint="eastAsia" w:ascii="宋体" w:hAnsi="宋体"/>
          <w:sz w:val="21"/>
          <w:szCs w:val="21"/>
        </w:rPr>
        <w:t>用于个人/单位对报名审核通过的培训计划选择参加培训的班次。</w:t>
      </w:r>
    </w:p>
    <w:p>
      <w:pPr>
        <w:pStyle w:val="6"/>
        <w:numPr>
          <w:ilvl w:val="0"/>
          <w:numId w:val="1"/>
        </w:numPr>
        <w:spacing w:before="120" w:after="80" w:line="360" w:lineRule="auto"/>
        <w:ind w:left="902"/>
        <w:rPr>
          <w:rFonts w:ascii="宋体" w:hAnsi="宋体"/>
          <w:sz w:val="21"/>
          <w:szCs w:val="21"/>
        </w:rPr>
      </w:pPr>
      <w:r>
        <w:rPr>
          <w:rFonts w:hint="eastAsia" w:ascii="宋体" w:hAnsi="宋体"/>
          <w:sz w:val="21"/>
          <w:szCs w:val="21"/>
        </w:rPr>
        <w:t>集体成绩查询</w:t>
      </w:r>
    </w:p>
    <w:p>
      <w:pPr>
        <w:pStyle w:val="6"/>
        <w:spacing w:line="360" w:lineRule="auto"/>
        <w:ind w:firstLine="420"/>
        <w:rPr>
          <w:rFonts w:ascii="宋体" w:hAnsi="宋体"/>
          <w:sz w:val="21"/>
          <w:szCs w:val="21"/>
        </w:rPr>
      </w:pPr>
      <w:r>
        <w:rPr>
          <w:rFonts w:hint="eastAsia" w:ascii="宋体" w:hAnsi="宋体"/>
          <w:sz w:val="21"/>
          <w:szCs w:val="21"/>
        </w:rPr>
        <w:t>培训结束考核成绩录入后，单位可以通过此模块进行成绩查询。</w:t>
      </w:r>
    </w:p>
    <w:p>
      <w:pPr>
        <w:pStyle w:val="6"/>
        <w:numPr>
          <w:ilvl w:val="0"/>
          <w:numId w:val="1"/>
        </w:numPr>
        <w:spacing w:before="120" w:after="80" w:line="360" w:lineRule="auto"/>
        <w:ind w:left="902"/>
        <w:rPr>
          <w:rFonts w:ascii="宋体" w:hAnsi="宋体"/>
          <w:sz w:val="21"/>
          <w:szCs w:val="21"/>
        </w:rPr>
      </w:pPr>
      <w:r>
        <w:rPr>
          <w:rFonts w:hint="eastAsia" w:ascii="宋体" w:hAnsi="宋体"/>
          <w:sz w:val="21"/>
          <w:szCs w:val="21"/>
        </w:rPr>
        <w:t>培训流程图</w:t>
      </w:r>
    </w:p>
    <w:p>
      <w:pPr>
        <w:pStyle w:val="6"/>
        <w:spacing w:before="120" w:after="80" w:line="360" w:lineRule="auto"/>
        <w:ind w:firstLine="0"/>
        <w:rPr>
          <w:rFonts w:hint="eastAsia" w:ascii="宋体" w:hAnsi="宋体" w:eastAsiaTheme="minorEastAsia"/>
          <w:sz w:val="21"/>
          <w:szCs w:val="21"/>
          <w:lang w:eastAsia="zh-CN"/>
        </w:rPr>
      </w:pPr>
      <w:r>
        <w:rPr>
          <w:rFonts w:hint="eastAsia" w:ascii="宋体" w:hAnsi="宋体" w:eastAsiaTheme="minorEastAsia"/>
          <w:sz w:val="21"/>
          <w:szCs w:val="21"/>
          <w:lang w:eastAsia="zh-CN"/>
        </w:rPr>
        <w:drawing>
          <wp:inline distT="0" distB="0" distL="114300" distR="114300">
            <wp:extent cx="4947285" cy="6310630"/>
            <wp:effectExtent l="0" t="0" r="5715" b="13970"/>
            <wp:docPr id="34" name="图片 34" descr="技术人员培训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技术人员培训流程"/>
                    <pic:cNvPicPr>
                      <a:picLocks noChangeAspect="1"/>
                    </pic:cNvPicPr>
                  </pic:nvPicPr>
                  <pic:blipFill>
                    <a:blip r:embed="rId8"/>
                    <a:stretch>
                      <a:fillRect/>
                    </a:stretch>
                  </pic:blipFill>
                  <pic:spPr>
                    <a:xfrm>
                      <a:off x="0" y="0"/>
                      <a:ext cx="4947285" cy="6310630"/>
                    </a:xfrm>
                    <a:prstGeom prst="rect">
                      <a:avLst/>
                    </a:prstGeom>
                  </pic:spPr>
                </pic:pic>
              </a:graphicData>
            </a:graphic>
          </wp:inline>
        </w:drawing>
      </w:r>
      <w:bookmarkStart w:id="66" w:name="_GoBack"/>
      <w:bookmarkEnd w:id="66"/>
    </w:p>
    <w:p>
      <w:pPr>
        <w:pStyle w:val="3"/>
        <w:spacing w:before="156" w:after="156"/>
        <w:rPr>
          <w:rFonts w:ascii="宋体" w:hAnsi="宋体"/>
        </w:rPr>
      </w:pPr>
      <w:bookmarkStart w:id="23" w:name="_Toc476043565"/>
      <w:bookmarkStart w:id="24" w:name="_Toc478474700"/>
      <w:bookmarkStart w:id="25" w:name="_Toc477787267"/>
      <w:bookmarkStart w:id="26" w:name="_Toc519752801"/>
      <w:bookmarkStart w:id="27" w:name="_Toc478716933"/>
      <w:bookmarkStart w:id="28" w:name="_Toc508986500"/>
      <w:bookmarkStart w:id="29" w:name="_Toc478474652"/>
      <w:r>
        <w:rPr>
          <w:rFonts w:hint="eastAsia" w:ascii="宋体" w:hAnsi="宋体"/>
        </w:rPr>
        <w:t>1.4  其他说明</w:t>
      </w:r>
      <w:bookmarkEnd w:id="23"/>
      <w:bookmarkEnd w:id="24"/>
      <w:bookmarkEnd w:id="25"/>
      <w:bookmarkEnd w:id="26"/>
      <w:bookmarkEnd w:id="27"/>
      <w:bookmarkEnd w:id="28"/>
      <w:bookmarkEnd w:id="29"/>
    </w:p>
    <w:p>
      <w:pPr>
        <w:spacing w:line="360" w:lineRule="auto"/>
        <w:rPr>
          <w:rFonts w:ascii="宋体" w:hAnsi="宋体"/>
        </w:rPr>
      </w:pPr>
      <w:r>
        <w:rPr>
          <w:rFonts w:hint="eastAsia" w:ascii="宋体" w:hAnsi="宋体"/>
        </w:rPr>
        <w:t>（1）以下系统模块中的输入项前带“</w:t>
      </w:r>
      <w:r>
        <w:rPr>
          <w:rFonts w:hint="eastAsia" w:ascii="宋体" w:hAnsi="宋体"/>
          <w:color w:val="FF0000"/>
        </w:rPr>
        <w:t>*</w:t>
      </w:r>
      <w:r>
        <w:rPr>
          <w:rFonts w:hint="eastAsia" w:ascii="宋体" w:hAnsi="宋体"/>
        </w:rPr>
        <w:t>”为必填项；</w:t>
      </w:r>
    </w:p>
    <w:p>
      <w:pPr>
        <w:spacing w:line="360" w:lineRule="auto"/>
        <w:rPr>
          <w:rFonts w:ascii="宋体" w:hAnsi="宋体"/>
        </w:rPr>
      </w:pPr>
      <w:r>
        <w:rPr>
          <w:rFonts w:hint="eastAsia" w:ascii="宋体" w:hAnsi="宋体"/>
        </w:rPr>
        <w:t>（2）以下出现的操作界面截图为演示数据，非正式数据；</w:t>
      </w:r>
    </w:p>
    <w:p>
      <w:pPr>
        <w:pStyle w:val="2"/>
        <w:spacing w:before="156" w:after="156"/>
        <w:rPr>
          <w:rFonts w:ascii="宋体" w:hAnsi="宋体"/>
        </w:rPr>
      </w:pPr>
      <w:bookmarkStart w:id="30" w:name="_Toc478716934"/>
      <w:bookmarkStart w:id="31" w:name="_Toc519752802"/>
      <w:bookmarkStart w:id="32" w:name="_Toc478474701"/>
      <w:bookmarkStart w:id="33" w:name="_Toc478474653"/>
      <w:bookmarkStart w:id="34" w:name="_Toc508986501"/>
      <w:bookmarkStart w:id="35" w:name="_Toc476043566"/>
      <w:bookmarkStart w:id="36" w:name="_Toc477787268"/>
      <w:r>
        <w:rPr>
          <w:rFonts w:hint="eastAsia" w:ascii="宋体" w:hAnsi="宋体"/>
        </w:rPr>
        <w:t>第二章 系统登录</w:t>
      </w:r>
      <w:bookmarkEnd w:id="30"/>
      <w:bookmarkEnd w:id="31"/>
      <w:bookmarkEnd w:id="32"/>
      <w:bookmarkEnd w:id="33"/>
      <w:bookmarkEnd w:id="34"/>
      <w:bookmarkEnd w:id="35"/>
      <w:bookmarkEnd w:id="36"/>
    </w:p>
    <w:p>
      <w:pPr>
        <w:pStyle w:val="3"/>
        <w:spacing w:before="156" w:after="156"/>
        <w:rPr>
          <w:rFonts w:ascii="宋体" w:hAnsi="宋体"/>
        </w:rPr>
      </w:pPr>
      <w:bookmarkStart w:id="37" w:name="_Toc519752803"/>
      <w:bookmarkStart w:id="38" w:name="_Toc508986502"/>
      <w:r>
        <w:rPr>
          <w:rFonts w:hint="eastAsia" w:ascii="宋体" w:hAnsi="宋体"/>
        </w:rPr>
        <w:t>2.1  登录系统</w:t>
      </w:r>
      <w:bookmarkEnd w:id="37"/>
      <w:bookmarkEnd w:id="38"/>
    </w:p>
    <w:p>
      <w:pPr>
        <w:spacing w:line="360" w:lineRule="auto"/>
        <w:rPr>
          <w:rFonts w:ascii="宋体" w:hAnsi="宋体"/>
          <w:b/>
          <w:color w:val="0000FF"/>
          <w:spacing w:val="-2"/>
          <w:szCs w:val="21"/>
        </w:rPr>
      </w:pPr>
      <w:r>
        <w:rPr>
          <w:rFonts w:hint="eastAsia" w:ascii="宋体" w:hAnsi="宋体"/>
          <w:szCs w:val="21"/>
        </w:rPr>
        <w:t>1、 登录地址：</w:t>
      </w:r>
      <w:r>
        <w:rPr>
          <w:rFonts w:ascii="宋体" w:hAnsi="宋体"/>
          <w:b/>
          <w:color w:val="0000FF"/>
          <w:spacing w:val="-2"/>
          <w:szCs w:val="21"/>
        </w:rPr>
        <w:t>http://218.94.1.84:8001/</w:t>
      </w:r>
    </w:p>
    <w:p>
      <w:pPr>
        <w:spacing w:line="360" w:lineRule="auto"/>
        <w:ind w:left="360"/>
        <w:rPr>
          <w:rFonts w:ascii="宋体" w:hAnsi="宋体"/>
          <w:szCs w:val="21"/>
        </w:rPr>
      </w:pPr>
      <w:r>
        <w:rPr>
          <w:rFonts w:hint="eastAsia" w:ascii="宋体" w:hAnsi="宋体"/>
          <w:szCs w:val="21"/>
        </w:rPr>
        <w:t>系统登录界面如下图所示：</w:t>
      </w:r>
    </w:p>
    <w:p>
      <w:pPr>
        <w:spacing w:line="360" w:lineRule="auto"/>
      </w:pPr>
      <w:r>
        <w:drawing>
          <wp:inline distT="0" distB="0" distL="0" distR="0">
            <wp:extent cx="5274310" cy="2900680"/>
            <wp:effectExtent l="19050" t="19050" r="21590"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74310" cy="2900871"/>
                    </a:xfrm>
                    <a:prstGeom prst="rect">
                      <a:avLst/>
                    </a:prstGeom>
                    <a:ln w="6350">
                      <a:solidFill>
                        <a:schemeClr val="tx1"/>
                      </a:solidFill>
                    </a:ln>
                  </pic:spPr>
                </pic:pic>
              </a:graphicData>
            </a:graphic>
          </wp:inline>
        </w:drawing>
      </w:r>
    </w:p>
    <w:p>
      <w:pPr>
        <w:spacing w:line="360" w:lineRule="auto"/>
        <w:rPr>
          <w:rFonts w:ascii="宋体" w:hAnsi="宋体"/>
          <w:szCs w:val="21"/>
        </w:rPr>
      </w:pPr>
      <w:r>
        <w:rPr>
          <w:rFonts w:hint="eastAsia" w:ascii="宋体" w:hAnsi="宋体"/>
          <w:szCs w:val="21"/>
        </w:rPr>
        <w:t>2、登录成功之后，进入操作系统界面，显示如下：</w:t>
      </w:r>
    </w:p>
    <w:p>
      <w:r>
        <w:drawing>
          <wp:inline distT="0" distB="0" distL="114300" distR="114300">
            <wp:extent cx="5262880" cy="2963545"/>
            <wp:effectExtent l="9525" t="9525" r="23495" b="17780"/>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10"/>
                    <a:stretch>
                      <a:fillRect/>
                    </a:stretch>
                  </pic:blipFill>
                  <pic:spPr>
                    <a:xfrm>
                      <a:off x="0" y="0"/>
                      <a:ext cx="5262880" cy="2963545"/>
                    </a:xfrm>
                    <a:prstGeom prst="rect">
                      <a:avLst/>
                    </a:prstGeom>
                    <a:noFill/>
                    <a:ln w="6350">
                      <a:solidFill>
                        <a:schemeClr val="accent1"/>
                      </a:solidFill>
                    </a:ln>
                  </pic:spPr>
                </pic:pic>
              </a:graphicData>
            </a:graphic>
          </wp:inline>
        </w:drawing>
      </w:r>
    </w:p>
    <w:p>
      <w:pPr>
        <w:pStyle w:val="3"/>
        <w:spacing w:before="156" w:after="156"/>
        <w:rPr>
          <w:rFonts w:ascii="宋体" w:hAnsi="宋体"/>
        </w:rPr>
      </w:pPr>
      <w:bookmarkStart w:id="39" w:name="_Toc508986503"/>
      <w:bookmarkStart w:id="40" w:name="_Toc519752804"/>
      <w:r>
        <w:rPr>
          <w:rFonts w:hint="eastAsia" w:ascii="宋体" w:hAnsi="宋体"/>
        </w:rPr>
        <w:t xml:space="preserve">2.2 </w:t>
      </w:r>
      <w:bookmarkEnd w:id="39"/>
      <w:bookmarkStart w:id="41" w:name="_Toc511483106"/>
      <w:r>
        <w:rPr>
          <w:rFonts w:hint="eastAsia" w:ascii="宋体" w:hAnsi="宋体"/>
        </w:rPr>
        <w:t xml:space="preserve"> 修改密码</w:t>
      </w:r>
      <w:bookmarkEnd w:id="40"/>
      <w:bookmarkEnd w:id="41"/>
    </w:p>
    <w:p>
      <w:pPr>
        <w:spacing w:line="360" w:lineRule="auto"/>
        <w:rPr>
          <w:rFonts w:ascii="宋体" w:hAnsi="宋体"/>
          <w:szCs w:val="21"/>
        </w:rPr>
      </w:pPr>
      <w:r>
        <w:rPr>
          <w:rFonts w:hint="eastAsia" w:ascii="宋体" w:hAnsi="宋体"/>
          <w:szCs w:val="21"/>
        </w:rPr>
        <w:t>1、登录系统后点击右上角[修改密码]：</w:t>
      </w:r>
    </w:p>
    <w:p>
      <w:pPr>
        <w:spacing w:line="360" w:lineRule="auto"/>
        <w:jc w:val="center"/>
        <w:rPr>
          <w:rFonts w:ascii="宋体" w:hAnsi="宋体"/>
          <w:szCs w:val="21"/>
        </w:rPr>
      </w:pPr>
      <w:r>
        <w:drawing>
          <wp:inline distT="0" distB="0" distL="0" distR="0">
            <wp:extent cx="3609340" cy="970915"/>
            <wp:effectExtent l="19050" t="19050" r="10160" b="196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609524" cy="971429"/>
                    </a:xfrm>
                    <a:prstGeom prst="rect">
                      <a:avLst/>
                    </a:prstGeom>
                    <a:ln w="6350">
                      <a:solidFill>
                        <a:schemeClr val="tx1"/>
                      </a:solidFill>
                    </a:ln>
                  </pic:spPr>
                </pic:pic>
              </a:graphicData>
            </a:graphic>
          </wp:inline>
        </w:drawing>
      </w:r>
    </w:p>
    <w:p>
      <w:pPr>
        <w:spacing w:line="360" w:lineRule="auto"/>
        <w:rPr>
          <w:rFonts w:ascii="宋体" w:hAnsi="宋体"/>
          <w:szCs w:val="21"/>
        </w:rPr>
      </w:pPr>
      <w:r>
        <w:rPr>
          <w:rFonts w:hint="eastAsia" w:ascii="宋体" w:hAnsi="宋体"/>
          <w:szCs w:val="21"/>
        </w:rPr>
        <w:t>2、弹出密码修改框，如下图：</w:t>
      </w:r>
    </w:p>
    <w:p>
      <w:pPr>
        <w:spacing w:line="360" w:lineRule="auto"/>
        <w:jc w:val="center"/>
      </w:pPr>
      <w:r>
        <w:drawing>
          <wp:inline distT="0" distB="0" distL="0" distR="0">
            <wp:extent cx="4762500" cy="19240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762500" cy="1924050"/>
                    </a:xfrm>
                    <a:prstGeom prst="rect">
                      <a:avLst/>
                    </a:prstGeom>
                    <a:noFill/>
                    <a:ln>
                      <a:noFill/>
                    </a:ln>
                  </pic:spPr>
                </pic:pic>
              </a:graphicData>
            </a:graphic>
          </wp:inline>
        </w:drawing>
      </w:r>
    </w:p>
    <w:p>
      <w:pPr>
        <w:pStyle w:val="3"/>
        <w:spacing w:before="156" w:after="156"/>
      </w:pPr>
      <w:bookmarkStart w:id="42" w:name="_Toc508986504"/>
      <w:bookmarkStart w:id="43" w:name="_Toc519752805"/>
      <w:r>
        <w:rPr>
          <w:rFonts w:hint="eastAsia"/>
        </w:rPr>
        <w:t>2.3  重新登录</w:t>
      </w:r>
      <w:bookmarkEnd w:id="42"/>
      <w:bookmarkEnd w:id="43"/>
    </w:p>
    <w:p>
      <w:pPr>
        <w:spacing w:line="360" w:lineRule="auto"/>
        <w:jc w:val="left"/>
        <w:rPr>
          <w:rFonts w:ascii="宋体" w:hAnsi="宋体"/>
          <w:szCs w:val="21"/>
        </w:rPr>
      </w:pPr>
      <w:r>
        <w:rPr>
          <w:rFonts w:hint="eastAsia" w:ascii="宋体" w:hAnsi="宋体"/>
          <w:szCs w:val="21"/>
        </w:rPr>
        <w:t>点击右上角[重新登录]，退出当前用户操作界面，返回登录界面,输入修改后的密码，重新登录。</w:t>
      </w:r>
    </w:p>
    <w:p>
      <w:pPr>
        <w:jc w:val="center"/>
      </w:pPr>
      <w:r>
        <w:drawing>
          <wp:inline distT="0" distB="0" distL="0" distR="0">
            <wp:extent cx="3485515" cy="904240"/>
            <wp:effectExtent l="19050" t="19050" r="19685" b="1016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tretch>
                      <a:fillRect/>
                    </a:stretch>
                  </pic:blipFill>
                  <pic:spPr>
                    <a:xfrm>
                      <a:off x="0" y="0"/>
                      <a:ext cx="3485715" cy="904762"/>
                    </a:xfrm>
                    <a:prstGeom prst="rect">
                      <a:avLst/>
                    </a:prstGeom>
                    <a:ln w="6350">
                      <a:solidFill>
                        <a:schemeClr val="tx1"/>
                      </a:solidFill>
                    </a:ln>
                  </pic:spPr>
                </pic:pic>
              </a:graphicData>
            </a:graphic>
          </wp:inline>
        </w:drawing>
      </w:r>
    </w:p>
    <w:p>
      <w:pPr>
        <w:jc w:val="center"/>
      </w:pPr>
    </w:p>
    <w:p/>
    <w:p>
      <w:pPr>
        <w:spacing w:line="360" w:lineRule="auto"/>
        <w:ind w:firstLine="420" w:firstLineChars="200"/>
        <w:rPr>
          <w:rFonts w:asciiTheme="minorEastAsia" w:hAnsiTheme="minorEastAsia" w:cstheme="minorEastAsia"/>
        </w:rPr>
      </w:pPr>
    </w:p>
    <w:p>
      <w:pPr>
        <w:pStyle w:val="2"/>
        <w:spacing w:before="156" w:after="156"/>
        <w:rPr>
          <w:rFonts w:ascii="宋体" w:hAnsi="宋体"/>
        </w:rPr>
      </w:pPr>
      <w:bookmarkStart w:id="44" w:name="_Toc519752806"/>
      <w:r>
        <w:rPr>
          <w:rFonts w:hint="eastAsia" w:ascii="宋体" w:hAnsi="宋体"/>
        </w:rPr>
        <w:t>第三章 完善人员信息</w:t>
      </w:r>
      <w:bookmarkEnd w:id="44"/>
    </w:p>
    <w:p>
      <w:pPr>
        <w:spacing w:line="360" w:lineRule="auto"/>
      </w:pPr>
    </w:p>
    <w:p>
      <w:pPr>
        <w:pStyle w:val="3"/>
        <w:spacing w:before="156" w:after="156"/>
      </w:pPr>
      <w:bookmarkStart w:id="45" w:name="_Toc519752807"/>
      <w:r>
        <w:rPr>
          <w:rFonts w:hint="eastAsia"/>
        </w:rPr>
        <w:t>3.1功能说明</w:t>
      </w:r>
      <w:bookmarkEnd w:id="45"/>
    </w:p>
    <w:p>
      <w:pPr>
        <w:spacing w:line="360" w:lineRule="auto"/>
        <w:ind w:firstLine="420"/>
        <w:rPr>
          <w:szCs w:val="21"/>
        </w:rPr>
      </w:pPr>
      <w:r>
        <w:rPr>
          <w:rFonts w:hint="eastAsia"/>
          <w:szCs w:val="21"/>
        </w:rPr>
        <w:t>用于单位机构报名人员信息的完善，资质申报信息完善后，可在集体报名时直接添加该人员。</w:t>
      </w:r>
    </w:p>
    <w:p>
      <w:pPr>
        <w:pStyle w:val="3"/>
        <w:spacing w:before="156" w:after="156"/>
      </w:pPr>
      <w:bookmarkStart w:id="46" w:name="_Toc519752808"/>
      <w:r>
        <w:rPr>
          <w:rFonts w:hint="eastAsia"/>
        </w:rPr>
        <w:t>3.2菜单</w:t>
      </w:r>
      <w:bookmarkEnd w:id="46"/>
    </w:p>
    <w:p>
      <w:pPr>
        <w:spacing w:line="360" w:lineRule="auto"/>
        <w:ind w:firstLine="420"/>
      </w:pPr>
      <w:r>
        <w:rPr>
          <w:rFonts w:hint="eastAsia"/>
        </w:rPr>
        <w:t>1、点击主页面</w:t>
      </w:r>
      <w:r>
        <w:rPr>
          <w:rFonts w:hint="eastAsia"/>
          <w:szCs w:val="21"/>
        </w:rPr>
        <w:t>菜单</w:t>
      </w:r>
      <w:r>
        <w:rPr>
          <w:rFonts w:hint="eastAsia"/>
        </w:rPr>
        <w:t>[职业卫生服务机构]进入资质申报菜单页面，显示如下图：</w:t>
      </w:r>
    </w:p>
    <w:p>
      <w:pPr>
        <w:spacing w:line="360" w:lineRule="auto"/>
      </w:pPr>
      <w:r>
        <w:drawing>
          <wp:inline distT="0" distB="0" distL="0" distR="0">
            <wp:extent cx="5274310" cy="2658745"/>
            <wp:effectExtent l="19050" t="19050" r="254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a:stretch>
                      <a:fillRect/>
                    </a:stretch>
                  </pic:blipFill>
                  <pic:spPr>
                    <a:xfrm>
                      <a:off x="0" y="0"/>
                      <a:ext cx="5274310" cy="2659131"/>
                    </a:xfrm>
                    <a:prstGeom prst="rect">
                      <a:avLst/>
                    </a:prstGeom>
                    <a:ln w="6350">
                      <a:solidFill>
                        <a:schemeClr val="tx1"/>
                      </a:solidFill>
                    </a:ln>
                  </pic:spPr>
                </pic:pic>
              </a:graphicData>
            </a:graphic>
          </wp:inline>
        </w:drawing>
      </w:r>
    </w:p>
    <w:p>
      <w:pPr>
        <w:pStyle w:val="3"/>
        <w:spacing w:before="156" w:after="156"/>
      </w:pPr>
      <w:bookmarkStart w:id="47" w:name="_Toc519752809"/>
      <w:r>
        <w:rPr>
          <w:rFonts w:hint="eastAsia"/>
        </w:rPr>
        <w:t>3.3 主页面</w:t>
      </w:r>
      <w:bookmarkEnd w:id="47"/>
    </w:p>
    <w:p>
      <w:pPr>
        <w:spacing w:line="360" w:lineRule="auto"/>
      </w:pPr>
      <w:r>
        <w:rPr>
          <w:rFonts w:hint="eastAsia"/>
        </w:rPr>
        <w:t>1、根据单位实际情况选择对应的资质申报菜单，点击进入完善资质以及人员信息。</w:t>
      </w:r>
    </w:p>
    <w:p>
      <w:pPr>
        <w:spacing w:line="360" w:lineRule="auto"/>
      </w:pPr>
      <w:r>
        <w:rPr>
          <w:rFonts w:hint="eastAsia"/>
        </w:rPr>
        <w:t>2、以【职业病诊断机构资质申报】为例，进入申报编辑页面，完善“单位信息”并保存后才能切换到“人员信息”页面，如下图所示：</w:t>
      </w:r>
    </w:p>
    <w:p>
      <w:pPr>
        <w:spacing w:line="360" w:lineRule="auto"/>
      </w:pPr>
      <w:r>
        <w:drawing>
          <wp:inline distT="0" distB="0" distL="0" distR="0">
            <wp:extent cx="5274310" cy="1929765"/>
            <wp:effectExtent l="19050" t="1905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5"/>
                    <a:stretch>
                      <a:fillRect/>
                    </a:stretch>
                  </pic:blipFill>
                  <pic:spPr>
                    <a:xfrm>
                      <a:off x="0" y="0"/>
                      <a:ext cx="5274310" cy="1930251"/>
                    </a:xfrm>
                    <a:prstGeom prst="rect">
                      <a:avLst/>
                    </a:prstGeom>
                    <a:ln w="6350">
                      <a:solidFill>
                        <a:schemeClr val="tx1"/>
                      </a:solidFill>
                    </a:ln>
                  </pic:spPr>
                </pic:pic>
              </a:graphicData>
            </a:graphic>
          </wp:inline>
        </w:drawing>
      </w:r>
    </w:p>
    <w:p>
      <w:pPr>
        <w:pStyle w:val="22"/>
        <w:numPr>
          <w:ilvl w:val="0"/>
          <w:numId w:val="2"/>
        </w:numPr>
        <w:spacing w:line="360" w:lineRule="auto"/>
        <w:ind w:firstLineChars="0"/>
      </w:pPr>
      <w:r>
        <w:rPr>
          <w:rFonts w:hint="eastAsia"/>
        </w:rPr>
        <w:t>在岗状态：默认显示人员在岗状态为在职，点击操作列的【离职】可修改状态</w:t>
      </w:r>
    </w:p>
    <w:p>
      <w:pPr>
        <w:pStyle w:val="22"/>
        <w:numPr>
          <w:ilvl w:val="0"/>
          <w:numId w:val="2"/>
        </w:numPr>
        <w:spacing w:line="360" w:lineRule="auto"/>
        <w:ind w:firstLineChars="0"/>
      </w:pPr>
      <w:r>
        <w:rPr>
          <w:rFonts w:hint="eastAsia"/>
        </w:rPr>
        <w:t>证书编号：显示该人员的专业技术人员资质证书，若有多张证书则会显示【其他】，鼠标移动到【其他】会显示该人员其他证书编号；在系统内通过培训并取得证书的人员，个人档案的专业技术人员资质信息内会自动增加该证书信息</w:t>
      </w:r>
    </w:p>
    <w:p>
      <w:pPr>
        <w:pStyle w:val="22"/>
        <w:numPr>
          <w:ilvl w:val="0"/>
          <w:numId w:val="2"/>
        </w:numPr>
        <w:spacing w:line="360" w:lineRule="auto"/>
        <w:ind w:firstLineChars="0"/>
      </w:pPr>
      <w:r>
        <w:rPr>
          <w:rFonts w:hint="eastAsia"/>
        </w:rPr>
        <w:t>操作：可对已添加的人员进行手动更改在岗状态，离职或者在职；【删除】可对已添加到本单位的人员进行删除</w:t>
      </w:r>
    </w:p>
    <w:p>
      <w:pPr>
        <w:pStyle w:val="3"/>
        <w:spacing w:before="156" w:after="156"/>
      </w:pPr>
      <w:bookmarkStart w:id="48" w:name="_Toc519752810"/>
      <w:r>
        <w:rPr>
          <w:rFonts w:hint="eastAsia"/>
        </w:rPr>
        <w:t>3.4 添加人员信息</w:t>
      </w:r>
      <w:bookmarkEnd w:id="48"/>
    </w:p>
    <w:p>
      <w:pPr>
        <w:spacing w:line="360" w:lineRule="auto"/>
      </w:pPr>
      <w:r>
        <w:rPr>
          <w:rFonts w:hint="eastAsia"/>
        </w:rPr>
        <w:t>点击‘添加’按钮，进入人员选择页面，如下图：</w:t>
      </w:r>
    </w:p>
    <w:p>
      <w:pPr>
        <w:spacing w:line="360" w:lineRule="auto"/>
      </w:pPr>
      <w:r>
        <w:drawing>
          <wp:inline distT="0" distB="0" distL="0" distR="0">
            <wp:extent cx="5274310" cy="2199005"/>
            <wp:effectExtent l="19050" t="19050" r="21590" b="10294"/>
            <wp:docPr id="5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6"/>
                    <pic:cNvPicPr>
                      <a:picLocks noChangeAspect="1" noChangeArrowheads="1"/>
                    </pic:cNvPicPr>
                  </pic:nvPicPr>
                  <pic:blipFill>
                    <a:blip r:embed="rId16"/>
                    <a:srcRect/>
                    <a:stretch>
                      <a:fillRect/>
                    </a:stretch>
                  </pic:blipFill>
                  <pic:spPr>
                    <a:xfrm>
                      <a:off x="0" y="0"/>
                      <a:ext cx="5274310" cy="2199506"/>
                    </a:xfrm>
                    <a:prstGeom prst="rect">
                      <a:avLst/>
                    </a:prstGeom>
                    <a:noFill/>
                    <a:ln w="9525">
                      <a:solidFill>
                        <a:schemeClr val="tx1"/>
                      </a:solidFill>
                      <a:miter lim="800000"/>
                      <a:headEnd/>
                      <a:tailEnd/>
                    </a:ln>
                  </pic:spPr>
                </pic:pic>
              </a:graphicData>
            </a:graphic>
          </wp:inline>
        </w:drawing>
      </w:r>
    </w:p>
    <w:p>
      <w:pPr>
        <w:spacing w:line="360" w:lineRule="auto"/>
        <w:jc w:val="center"/>
      </w:pPr>
      <w:r>
        <w:rPr>
          <w:rFonts w:hint="eastAsia"/>
        </w:rPr>
        <w:t>(人员添加页面)</w:t>
      </w:r>
    </w:p>
    <w:p>
      <w:pPr>
        <w:spacing w:line="360" w:lineRule="auto"/>
        <w:jc w:val="left"/>
      </w:pPr>
      <w:r>
        <w:rPr>
          <w:rFonts w:hint="eastAsia"/>
        </w:rPr>
        <w:t>2.点击‘添加按钮’，可新增人员，进入人员信息填写页面，用于采集人员的个人基本信息如下图所示：</w:t>
      </w:r>
    </w:p>
    <w:p>
      <w:pPr>
        <w:spacing w:line="360" w:lineRule="auto"/>
        <w:jc w:val="left"/>
      </w:pPr>
      <w:r>
        <w:drawing>
          <wp:inline distT="0" distB="0" distL="0" distR="0">
            <wp:extent cx="5274310" cy="2379980"/>
            <wp:effectExtent l="19050" t="19050" r="21590" b="19919"/>
            <wp:docPr id="7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9"/>
                    <pic:cNvPicPr>
                      <a:picLocks noChangeAspect="1" noChangeArrowheads="1"/>
                    </pic:cNvPicPr>
                  </pic:nvPicPr>
                  <pic:blipFill>
                    <a:blip r:embed="rId17" cstate="print"/>
                    <a:srcRect/>
                    <a:stretch>
                      <a:fillRect/>
                    </a:stretch>
                  </pic:blipFill>
                  <pic:spPr>
                    <a:xfrm>
                      <a:off x="0" y="0"/>
                      <a:ext cx="5274310" cy="2380381"/>
                    </a:xfrm>
                    <a:prstGeom prst="rect">
                      <a:avLst/>
                    </a:prstGeom>
                    <a:noFill/>
                    <a:ln w="9525">
                      <a:solidFill>
                        <a:schemeClr val="tx1"/>
                      </a:solidFill>
                      <a:miter lim="800000"/>
                      <a:headEnd/>
                      <a:tailEnd/>
                    </a:ln>
                  </pic:spPr>
                </pic:pic>
              </a:graphicData>
            </a:graphic>
          </wp:inline>
        </w:drawing>
      </w:r>
    </w:p>
    <w:p>
      <w:pPr>
        <w:pStyle w:val="3"/>
        <w:spacing w:before="156" w:after="156"/>
      </w:pPr>
      <w:bookmarkStart w:id="49" w:name="_Toc519752811"/>
      <w:r>
        <w:rPr>
          <w:rFonts w:hint="eastAsia"/>
        </w:rPr>
        <w:t>3.5人员信息说明</w:t>
      </w:r>
      <w:bookmarkEnd w:id="49"/>
    </w:p>
    <w:p>
      <w:pPr>
        <w:spacing w:line="360" w:lineRule="auto"/>
      </w:pPr>
      <w:r>
        <w:drawing>
          <wp:inline distT="0" distB="0" distL="0" distR="0">
            <wp:extent cx="5274310" cy="1725930"/>
            <wp:effectExtent l="19050" t="19050" r="21590" b="26670"/>
            <wp:docPr id="7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0"/>
                    <pic:cNvPicPr>
                      <a:picLocks noChangeAspect="1"/>
                    </pic:cNvPicPr>
                  </pic:nvPicPr>
                  <pic:blipFill>
                    <a:blip r:embed="rId18"/>
                    <a:stretch>
                      <a:fillRect/>
                    </a:stretch>
                  </pic:blipFill>
                  <pic:spPr>
                    <a:xfrm>
                      <a:off x="0" y="0"/>
                      <a:ext cx="5274310" cy="1725930"/>
                    </a:xfrm>
                    <a:prstGeom prst="rect">
                      <a:avLst/>
                    </a:prstGeom>
                    <a:ln w="6350">
                      <a:solidFill>
                        <a:schemeClr val="tx1"/>
                      </a:solidFill>
                    </a:ln>
                  </pic:spPr>
                </pic:pic>
              </a:graphicData>
            </a:graphic>
          </wp:inline>
        </w:drawing>
      </w:r>
    </w:p>
    <w:p>
      <w:pPr>
        <w:spacing w:line="360" w:lineRule="auto"/>
      </w:pPr>
      <w:r>
        <w:rPr>
          <w:rFonts w:hint="eastAsia"/>
        </w:rPr>
        <w:t>1.信息填写说明</w:t>
      </w:r>
    </w:p>
    <w:p>
      <w:pPr>
        <w:pStyle w:val="22"/>
        <w:numPr>
          <w:ilvl w:val="0"/>
          <w:numId w:val="2"/>
        </w:numPr>
        <w:spacing w:line="360" w:lineRule="auto"/>
        <w:ind w:firstLineChars="0"/>
      </w:pPr>
      <w:r>
        <w:rPr>
          <w:rFonts w:hint="eastAsia"/>
        </w:rPr>
        <w:t>姓名：默认显示注册时填写的姓名，允许修改，必填</w:t>
      </w:r>
    </w:p>
    <w:p>
      <w:pPr>
        <w:pStyle w:val="22"/>
        <w:numPr>
          <w:ilvl w:val="0"/>
          <w:numId w:val="2"/>
        </w:numPr>
        <w:spacing w:line="360" w:lineRule="auto"/>
        <w:ind w:firstLineChars="0"/>
      </w:pPr>
      <w:r>
        <w:rPr>
          <w:rFonts w:hint="eastAsia"/>
        </w:rPr>
        <w:t>身份证号：默认显示注册时填写的身份证号，允许修改，保存时进行规则校验和唯一性校验，必填</w:t>
      </w:r>
    </w:p>
    <w:p>
      <w:pPr>
        <w:pStyle w:val="22"/>
        <w:numPr>
          <w:ilvl w:val="0"/>
          <w:numId w:val="2"/>
        </w:numPr>
        <w:spacing w:line="360" w:lineRule="auto"/>
        <w:ind w:firstLineChars="0"/>
      </w:pPr>
      <w:r>
        <w:rPr>
          <w:rFonts w:hint="eastAsia"/>
        </w:rPr>
        <w:t>性别：默认显示注册时选择的性别，允许修改，必选</w:t>
      </w:r>
    </w:p>
    <w:p>
      <w:pPr>
        <w:pStyle w:val="22"/>
        <w:numPr>
          <w:ilvl w:val="0"/>
          <w:numId w:val="2"/>
        </w:numPr>
        <w:spacing w:line="360" w:lineRule="auto"/>
        <w:ind w:firstLineChars="0"/>
      </w:pPr>
      <w:r>
        <w:rPr>
          <w:rFonts w:hint="eastAsia"/>
        </w:rPr>
        <w:t>出生日期：根据注册时的身份证号设置默认值，允许修改，非必填</w:t>
      </w:r>
    </w:p>
    <w:p>
      <w:pPr>
        <w:pStyle w:val="22"/>
        <w:numPr>
          <w:ilvl w:val="0"/>
          <w:numId w:val="2"/>
        </w:numPr>
        <w:spacing w:line="360" w:lineRule="auto"/>
        <w:ind w:firstLineChars="0"/>
      </w:pPr>
      <w:r>
        <w:rPr>
          <w:rFonts w:hint="eastAsia"/>
        </w:rPr>
        <w:t>国籍：手动输入，非必填</w:t>
      </w:r>
    </w:p>
    <w:p>
      <w:pPr>
        <w:pStyle w:val="22"/>
        <w:numPr>
          <w:ilvl w:val="0"/>
          <w:numId w:val="2"/>
        </w:numPr>
        <w:spacing w:line="360" w:lineRule="auto"/>
        <w:ind w:firstLineChars="0"/>
      </w:pPr>
      <w:r>
        <w:rPr>
          <w:rFonts w:hint="eastAsia"/>
        </w:rPr>
        <w:t>名族：下拉选择，非必选</w:t>
      </w:r>
    </w:p>
    <w:p>
      <w:pPr>
        <w:pStyle w:val="22"/>
        <w:numPr>
          <w:ilvl w:val="0"/>
          <w:numId w:val="2"/>
        </w:numPr>
        <w:spacing w:line="360" w:lineRule="auto"/>
        <w:ind w:firstLineChars="0"/>
      </w:pPr>
      <w:r>
        <w:rPr>
          <w:rFonts w:hint="eastAsia"/>
        </w:rPr>
        <w:t>手机号码：手动输入数字，11位规则校验，必填</w:t>
      </w:r>
    </w:p>
    <w:p>
      <w:pPr>
        <w:pStyle w:val="22"/>
        <w:numPr>
          <w:ilvl w:val="0"/>
          <w:numId w:val="2"/>
        </w:numPr>
        <w:spacing w:line="360" w:lineRule="auto"/>
        <w:ind w:firstLineChars="0"/>
      </w:pPr>
      <w:r>
        <w:rPr>
          <w:rFonts w:hint="eastAsia"/>
        </w:rPr>
        <w:t>电子邮箱：手动输入，规则校验，非必填</w:t>
      </w:r>
    </w:p>
    <w:p>
      <w:pPr>
        <w:pStyle w:val="22"/>
        <w:numPr>
          <w:ilvl w:val="0"/>
          <w:numId w:val="2"/>
        </w:numPr>
        <w:spacing w:line="360" w:lineRule="auto"/>
        <w:ind w:firstLineChars="0"/>
      </w:pPr>
      <w:r>
        <w:rPr>
          <w:rFonts w:hint="eastAsia"/>
        </w:rPr>
        <w:t>固定电话：手动输入4位区号-8位号码，规则校验，非必填</w:t>
      </w:r>
    </w:p>
    <w:p>
      <w:pPr>
        <w:pStyle w:val="22"/>
        <w:numPr>
          <w:ilvl w:val="0"/>
          <w:numId w:val="2"/>
        </w:numPr>
        <w:spacing w:line="360" w:lineRule="auto"/>
        <w:ind w:firstLineChars="0"/>
      </w:pPr>
      <w:r>
        <w:rPr>
          <w:rFonts w:hint="eastAsia"/>
        </w:rPr>
        <w:t>邮政编码：手动输入6位数字，规则校验，非必填</w:t>
      </w:r>
    </w:p>
    <w:p>
      <w:pPr>
        <w:pStyle w:val="22"/>
        <w:numPr>
          <w:ilvl w:val="0"/>
          <w:numId w:val="2"/>
        </w:numPr>
        <w:spacing w:line="360" w:lineRule="auto"/>
        <w:ind w:firstLineChars="0"/>
      </w:pPr>
      <w:r>
        <w:rPr>
          <w:rFonts w:hint="eastAsia"/>
        </w:rPr>
        <w:t>通讯地址：手动输入，必填</w:t>
      </w:r>
    </w:p>
    <w:p>
      <w:pPr>
        <w:pStyle w:val="22"/>
        <w:numPr>
          <w:ilvl w:val="0"/>
          <w:numId w:val="2"/>
        </w:numPr>
        <w:spacing w:line="360" w:lineRule="auto"/>
        <w:ind w:firstLineChars="0"/>
      </w:pPr>
      <w:r>
        <w:rPr>
          <w:rFonts w:hint="eastAsia"/>
        </w:rPr>
        <w:t>身份证复印件：点击上传附件，允许附件格式为图片和PDF；上传附件后可查看附件，删除附件后重新上传</w:t>
      </w:r>
    </w:p>
    <w:p>
      <w:pPr>
        <w:spacing w:line="360" w:lineRule="auto"/>
        <w:jc w:val="left"/>
      </w:pPr>
      <w:r>
        <w:rPr>
          <w:rFonts w:hint="eastAsia"/>
        </w:rPr>
        <w:t>2.个人履历，用于采集人员的个人教育和工作信息，如下图所示：</w:t>
      </w:r>
    </w:p>
    <w:p>
      <w:pPr>
        <w:spacing w:line="360" w:lineRule="auto"/>
      </w:pPr>
      <w:r>
        <w:drawing>
          <wp:inline distT="0" distB="0" distL="0" distR="0">
            <wp:extent cx="5274310" cy="1840865"/>
            <wp:effectExtent l="19050" t="19050" r="21590" b="26035"/>
            <wp:docPr id="69"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7"/>
                    <pic:cNvPicPr>
                      <a:picLocks noChangeAspect="1"/>
                    </pic:cNvPicPr>
                  </pic:nvPicPr>
                  <pic:blipFill>
                    <a:blip r:embed="rId19"/>
                    <a:stretch>
                      <a:fillRect/>
                    </a:stretch>
                  </pic:blipFill>
                  <pic:spPr>
                    <a:xfrm>
                      <a:off x="0" y="0"/>
                      <a:ext cx="5274310" cy="1841125"/>
                    </a:xfrm>
                    <a:prstGeom prst="rect">
                      <a:avLst/>
                    </a:prstGeom>
                    <a:ln w="6350">
                      <a:solidFill>
                        <a:schemeClr val="tx1"/>
                      </a:solidFill>
                    </a:ln>
                  </pic:spPr>
                </pic:pic>
              </a:graphicData>
            </a:graphic>
          </wp:inline>
        </w:drawing>
      </w:r>
    </w:p>
    <w:p>
      <w:pPr>
        <w:spacing w:line="360" w:lineRule="auto"/>
      </w:pPr>
      <w:r>
        <w:rPr>
          <w:rFonts w:hint="eastAsia"/>
        </w:rPr>
        <w:t>3.信息填写说明</w:t>
      </w:r>
    </w:p>
    <w:p>
      <w:pPr>
        <w:pStyle w:val="22"/>
        <w:numPr>
          <w:ilvl w:val="0"/>
          <w:numId w:val="2"/>
        </w:numPr>
        <w:spacing w:line="360" w:lineRule="auto"/>
        <w:ind w:firstLineChars="0"/>
      </w:pPr>
      <w:r>
        <w:rPr>
          <w:rFonts w:hint="eastAsia"/>
        </w:rPr>
        <w:t>学历：下拉菜单选择，单选，非必填</w:t>
      </w:r>
    </w:p>
    <w:p>
      <w:pPr>
        <w:pStyle w:val="22"/>
        <w:numPr>
          <w:ilvl w:val="0"/>
          <w:numId w:val="2"/>
        </w:numPr>
        <w:spacing w:line="360" w:lineRule="auto"/>
        <w:ind w:firstLineChars="0"/>
      </w:pPr>
      <w:r>
        <w:rPr>
          <w:rFonts w:hint="eastAsia"/>
        </w:rPr>
        <w:t>毕业证书编号：手动输入，最大100个字节，非必填</w:t>
      </w:r>
    </w:p>
    <w:p>
      <w:pPr>
        <w:pStyle w:val="22"/>
        <w:numPr>
          <w:ilvl w:val="0"/>
          <w:numId w:val="2"/>
        </w:numPr>
        <w:spacing w:line="360" w:lineRule="auto"/>
        <w:ind w:firstLineChars="0"/>
      </w:pPr>
      <w:r>
        <w:rPr>
          <w:rFonts w:hint="eastAsia"/>
        </w:rPr>
        <w:t>学位：下拉菜单选择，单选，非必填</w:t>
      </w:r>
    </w:p>
    <w:p>
      <w:pPr>
        <w:pStyle w:val="22"/>
        <w:numPr>
          <w:ilvl w:val="0"/>
          <w:numId w:val="2"/>
        </w:numPr>
        <w:spacing w:line="360" w:lineRule="auto"/>
        <w:ind w:firstLineChars="0"/>
      </w:pPr>
      <w:r>
        <w:rPr>
          <w:rFonts w:hint="eastAsia"/>
        </w:rPr>
        <w:t>学位证书编号：手动输入，最大100个字节，非必填</w:t>
      </w:r>
    </w:p>
    <w:p>
      <w:pPr>
        <w:pStyle w:val="22"/>
        <w:numPr>
          <w:ilvl w:val="0"/>
          <w:numId w:val="2"/>
        </w:numPr>
        <w:spacing w:line="360" w:lineRule="auto"/>
        <w:ind w:firstLineChars="0"/>
      </w:pPr>
      <w:r>
        <w:rPr>
          <w:rFonts w:hint="eastAsia"/>
        </w:rPr>
        <w:t>职称：下拉菜单选择，单选，必填</w:t>
      </w:r>
    </w:p>
    <w:p>
      <w:pPr>
        <w:pStyle w:val="22"/>
        <w:numPr>
          <w:ilvl w:val="0"/>
          <w:numId w:val="2"/>
        </w:numPr>
        <w:spacing w:line="360" w:lineRule="auto"/>
        <w:ind w:firstLineChars="0"/>
      </w:pPr>
      <w:r>
        <w:rPr>
          <w:rFonts w:hint="eastAsia"/>
        </w:rPr>
        <w:t>职称级别：下拉菜单选择，单选，非必填</w:t>
      </w:r>
    </w:p>
    <w:p>
      <w:pPr>
        <w:pStyle w:val="22"/>
        <w:numPr>
          <w:ilvl w:val="0"/>
          <w:numId w:val="2"/>
        </w:numPr>
        <w:spacing w:line="360" w:lineRule="auto"/>
        <w:ind w:firstLineChars="0"/>
      </w:pPr>
      <w:r>
        <w:rPr>
          <w:rFonts w:hint="eastAsia"/>
        </w:rPr>
        <w:t>职称证书编号：手动输入，最大100个字节，非必填</w:t>
      </w:r>
    </w:p>
    <w:p>
      <w:pPr>
        <w:pStyle w:val="22"/>
        <w:numPr>
          <w:ilvl w:val="0"/>
          <w:numId w:val="2"/>
        </w:numPr>
        <w:spacing w:line="360" w:lineRule="auto"/>
        <w:ind w:firstLineChars="0"/>
      </w:pPr>
      <w:r>
        <w:rPr>
          <w:rFonts w:hint="eastAsia"/>
        </w:rPr>
        <w:t>职称证书附件：点击上传附件，允许附件格式为图片和PDF；上传附件后可查看附件，删除附件后重新上传</w:t>
      </w:r>
    </w:p>
    <w:p>
      <w:pPr>
        <w:pStyle w:val="22"/>
        <w:numPr>
          <w:ilvl w:val="0"/>
          <w:numId w:val="2"/>
        </w:numPr>
        <w:spacing w:line="360" w:lineRule="auto"/>
        <w:ind w:firstLineChars="0"/>
      </w:pPr>
      <w:r>
        <w:rPr>
          <w:rFonts w:hint="eastAsia"/>
        </w:rPr>
        <w:t>职务：下拉菜单选择，单选，非必填</w:t>
      </w:r>
    </w:p>
    <w:p>
      <w:pPr>
        <w:pStyle w:val="22"/>
        <w:numPr>
          <w:ilvl w:val="0"/>
          <w:numId w:val="2"/>
        </w:numPr>
        <w:spacing w:line="360" w:lineRule="auto"/>
        <w:ind w:firstLineChars="0"/>
      </w:pPr>
      <w:r>
        <w:rPr>
          <w:rFonts w:hint="eastAsia"/>
        </w:rPr>
        <w:t>从事专业（岗位）：手动输入，最大100个字节，非必填</w:t>
      </w:r>
    </w:p>
    <w:p>
      <w:pPr>
        <w:pStyle w:val="22"/>
        <w:numPr>
          <w:ilvl w:val="0"/>
          <w:numId w:val="2"/>
        </w:numPr>
        <w:spacing w:line="360" w:lineRule="auto"/>
        <w:ind w:firstLineChars="0"/>
      </w:pPr>
      <w:r>
        <w:rPr>
          <w:rFonts w:hint="eastAsia"/>
        </w:rPr>
        <w:t>从事职业卫生相关工作年限：手动输入，最大2个数字，非必填</w:t>
      </w:r>
    </w:p>
    <w:p>
      <w:pPr>
        <w:pStyle w:val="22"/>
        <w:numPr>
          <w:ilvl w:val="0"/>
          <w:numId w:val="2"/>
        </w:numPr>
        <w:spacing w:line="360" w:lineRule="auto"/>
        <w:ind w:firstLineChars="0"/>
      </w:pPr>
      <w:r>
        <w:rPr>
          <w:rFonts w:hint="eastAsia"/>
        </w:rPr>
        <w:t>毕业证书附件：点击上传附件，允许附件格式为图片和PDF；上传附件后可查看附件，删除附件后重新上传</w:t>
      </w:r>
    </w:p>
    <w:p>
      <w:pPr>
        <w:spacing w:line="360" w:lineRule="auto"/>
        <w:jc w:val="left"/>
      </w:pPr>
      <w:r>
        <w:rPr>
          <w:rFonts w:hint="eastAsia"/>
        </w:rPr>
        <w:t>4.资质信息，用于采集人员的个人资质信息，如下图所示：</w:t>
      </w:r>
    </w:p>
    <w:p>
      <w:pPr>
        <w:spacing w:line="360" w:lineRule="auto"/>
      </w:pPr>
      <w:r>
        <w:drawing>
          <wp:inline distT="0" distB="0" distL="0" distR="0">
            <wp:extent cx="5274310" cy="2284095"/>
            <wp:effectExtent l="19050" t="19050" r="21590" b="20955"/>
            <wp:docPr id="70"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8"/>
                    <pic:cNvPicPr>
                      <a:picLocks noChangeAspect="1"/>
                    </pic:cNvPicPr>
                  </pic:nvPicPr>
                  <pic:blipFill>
                    <a:blip r:embed="rId20"/>
                    <a:stretch>
                      <a:fillRect/>
                    </a:stretch>
                  </pic:blipFill>
                  <pic:spPr>
                    <a:xfrm>
                      <a:off x="0" y="0"/>
                      <a:ext cx="5274310" cy="2284313"/>
                    </a:xfrm>
                    <a:prstGeom prst="rect">
                      <a:avLst/>
                    </a:prstGeom>
                    <a:ln w="6350">
                      <a:solidFill>
                        <a:schemeClr val="tx1"/>
                      </a:solidFill>
                    </a:ln>
                  </pic:spPr>
                </pic:pic>
              </a:graphicData>
            </a:graphic>
          </wp:inline>
        </w:drawing>
      </w:r>
    </w:p>
    <w:p>
      <w:pPr>
        <w:spacing w:line="360" w:lineRule="auto"/>
      </w:pPr>
      <w:r>
        <w:rPr>
          <w:rFonts w:hint="eastAsia"/>
        </w:rPr>
        <w:t>5.信息填写说明</w:t>
      </w:r>
    </w:p>
    <w:p>
      <w:pPr>
        <w:pStyle w:val="22"/>
        <w:numPr>
          <w:ilvl w:val="0"/>
          <w:numId w:val="2"/>
        </w:numPr>
        <w:spacing w:line="360" w:lineRule="auto"/>
        <w:ind w:firstLineChars="0"/>
      </w:pPr>
      <w:r>
        <w:rPr>
          <w:rFonts w:hint="eastAsia"/>
        </w:rPr>
        <w:t>人员属性：下拉菜单选择，单选，必填</w:t>
      </w:r>
    </w:p>
    <w:p>
      <w:pPr>
        <w:pStyle w:val="22"/>
        <w:numPr>
          <w:ilvl w:val="0"/>
          <w:numId w:val="2"/>
        </w:numPr>
        <w:spacing w:line="360" w:lineRule="auto"/>
        <w:ind w:firstLineChars="0"/>
      </w:pPr>
      <w:r>
        <w:rPr>
          <w:rFonts w:hint="eastAsia"/>
        </w:rPr>
        <w:t>是否为鉴定专家：当人员属性为“诊断（鉴定）医师”时才显示该选项，单选，必选</w:t>
      </w:r>
    </w:p>
    <w:p>
      <w:pPr>
        <w:pStyle w:val="22"/>
        <w:numPr>
          <w:ilvl w:val="0"/>
          <w:numId w:val="2"/>
        </w:numPr>
        <w:spacing w:line="360" w:lineRule="auto"/>
        <w:ind w:firstLineChars="0"/>
      </w:pPr>
      <w:r>
        <w:rPr>
          <w:rFonts w:hint="eastAsia"/>
        </w:rPr>
        <w:t>医师资格证编号：手动输入，当人员属性为“检查医生”或“诊断/鉴定医师”时必填</w:t>
      </w:r>
    </w:p>
    <w:p>
      <w:pPr>
        <w:pStyle w:val="22"/>
        <w:numPr>
          <w:ilvl w:val="0"/>
          <w:numId w:val="2"/>
        </w:numPr>
        <w:spacing w:line="360" w:lineRule="auto"/>
        <w:ind w:firstLineChars="0"/>
      </w:pPr>
      <w:r>
        <w:rPr>
          <w:rFonts w:hint="eastAsia"/>
        </w:rPr>
        <w:t>医师资格证发证日期：日期选择，小于等于当前日期，当人员属性为“检查医生”或“诊断/鉴定医师”时必填</w:t>
      </w:r>
    </w:p>
    <w:p>
      <w:pPr>
        <w:pStyle w:val="22"/>
        <w:numPr>
          <w:ilvl w:val="0"/>
          <w:numId w:val="2"/>
        </w:numPr>
        <w:spacing w:line="360" w:lineRule="auto"/>
        <w:ind w:firstLineChars="0"/>
      </w:pPr>
      <w:r>
        <w:rPr>
          <w:rFonts w:hint="eastAsia"/>
        </w:rPr>
        <w:t>医师资格类别：点击弹出[医师资格类别选择]框，根据名称/拼音码进行查询，单选，当人员属性为“检查医生”或“诊断/鉴定医师”时必填</w:t>
      </w:r>
    </w:p>
    <w:p>
      <w:pPr>
        <w:pStyle w:val="22"/>
        <w:numPr>
          <w:ilvl w:val="0"/>
          <w:numId w:val="2"/>
        </w:numPr>
        <w:spacing w:line="360" w:lineRule="auto"/>
        <w:ind w:firstLineChars="0"/>
      </w:pPr>
      <w:r>
        <w:rPr>
          <w:rFonts w:hint="eastAsia"/>
        </w:rPr>
        <w:t>医师资格级别：下拉菜单选择，单选，非必填</w:t>
      </w:r>
    </w:p>
    <w:p>
      <w:pPr>
        <w:pStyle w:val="22"/>
        <w:numPr>
          <w:ilvl w:val="0"/>
          <w:numId w:val="2"/>
        </w:numPr>
        <w:spacing w:line="360" w:lineRule="auto"/>
        <w:ind w:firstLineChars="0"/>
      </w:pPr>
      <w:r>
        <w:rPr>
          <w:rFonts w:hint="eastAsia"/>
        </w:rPr>
        <w:t>医师资格证书附件：点击上传附件，允许附件格式为图片和PDF；上传附件后可查看附件，删除附件后重新上传</w:t>
      </w:r>
    </w:p>
    <w:p>
      <w:pPr>
        <w:pStyle w:val="22"/>
        <w:numPr>
          <w:ilvl w:val="0"/>
          <w:numId w:val="2"/>
        </w:numPr>
        <w:spacing w:line="360" w:lineRule="auto"/>
        <w:ind w:firstLineChars="0"/>
      </w:pPr>
      <w:r>
        <w:rPr>
          <w:rFonts w:hint="eastAsia"/>
        </w:rPr>
        <w:t>医师执业证书编号：手动输入，最大100个字节，非必填</w:t>
      </w:r>
    </w:p>
    <w:p>
      <w:pPr>
        <w:pStyle w:val="22"/>
        <w:numPr>
          <w:ilvl w:val="0"/>
          <w:numId w:val="2"/>
        </w:numPr>
        <w:spacing w:line="360" w:lineRule="auto"/>
        <w:ind w:firstLineChars="0"/>
      </w:pPr>
      <w:r>
        <w:rPr>
          <w:rFonts w:hint="eastAsia"/>
        </w:rPr>
        <w:t>医师执业证发证日期：日期选择，小于等于当前日期，非必填</w:t>
      </w:r>
    </w:p>
    <w:p>
      <w:pPr>
        <w:pStyle w:val="22"/>
        <w:numPr>
          <w:ilvl w:val="0"/>
          <w:numId w:val="2"/>
        </w:numPr>
        <w:spacing w:line="360" w:lineRule="auto"/>
        <w:ind w:firstLineChars="0"/>
      </w:pPr>
      <w:r>
        <w:rPr>
          <w:rFonts w:hint="eastAsia"/>
        </w:rPr>
        <w:t>医师执业类别：点击弹出[医师执业类别选择]框，根据名称/拼音码进行查询，单选，当人员属性为“检查医生”或“诊断/鉴定医师”时必填</w:t>
      </w:r>
    </w:p>
    <w:p>
      <w:pPr>
        <w:pStyle w:val="22"/>
        <w:numPr>
          <w:ilvl w:val="0"/>
          <w:numId w:val="2"/>
        </w:numPr>
        <w:spacing w:line="360" w:lineRule="auto"/>
        <w:ind w:firstLineChars="0"/>
      </w:pPr>
      <w:r>
        <w:rPr>
          <w:rFonts w:hint="eastAsia"/>
        </w:rPr>
        <w:t>主执业地点：手动输入，最大200个字节，当人员属性为“检查医生”或“诊断/鉴定医师”时必填</w:t>
      </w:r>
    </w:p>
    <w:p>
      <w:pPr>
        <w:pStyle w:val="22"/>
        <w:numPr>
          <w:ilvl w:val="0"/>
          <w:numId w:val="2"/>
        </w:numPr>
        <w:spacing w:line="360" w:lineRule="auto"/>
        <w:ind w:firstLineChars="0"/>
      </w:pPr>
      <w:r>
        <w:rPr>
          <w:rFonts w:hint="eastAsia"/>
        </w:rPr>
        <w:t>其他执业地点：手动输入，最大200个字节，非必填</w:t>
      </w:r>
    </w:p>
    <w:p>
      <w:pPr>
        <w:pStyle w:val="22"/>
        <w:numPr>
          <w:ilvl w:val="0"/>
          <w:numId w:val="2"/>
        </w:numPr>
        <w:spacing w:line="360" w:lineRule="auto"/>
        <w:ind w:firstLineChars="0"/>
      </w:pPr>
      <w:r>
        <w:rPr>
          <w:rFonts w:hint="eastAsia"/>
        </w:rPr>
        <w:t>医师执业证书附件：点击上传附件，允许附件格式为图片和PDF；上传附件后可查看附件，删除附件后重新上传</w:t>
      </w:r>
    </w:p>
    <w:p>
      <w:pPr>
        <w:pStyle w:val="22"/>
        <w:numPr>
          <w:ilvl w:val="0"/>
          <w:numId w:val="2"/>
        </w:numPr>
        <w:spacing w:line="360" w:lineRule="auto"/>
        <w:ind w:firstLineChars="0"/>
      </w:pPr>
      <w:r>
        <w:rPr>
          <w:rFonts w:hint="eastAsia"/>
        </w:rPr>
        <w:t>中级以上（含）专业技术任职资格证书附件：点击上传附件，允许附件格式为图片和PDF；上传附件后可查看附件，删除附件后重新上传</w:t>
      </w:r>
    </w:p>
    <w:p>
      <w:pPr>
        <w:pStyle w:val="22"/>
        <w:numPr>
          <w:ilvl w:val="0"/>
          <w:numId w:val="2"/>
        </w:numPr>
        <w:spacing w:line="360" w:lineRule="auto"/>
        <w:ind w:firstLineChars="0"/>
      </w:pPr>
      <w:r>
        <w:rPr>
          <w:rFonts w:hint="eastAsia"/>
        </w:rPr>
        <w:t>中级以上（含）专业技术任职聘任书附件：点击上传附件，允许附件格式为图片和PDF；上传附件后可查看附件，删除附件后重新上传</w:t>
      </w:r>
    </w:p>
    <w:p>
      <w:pPr>
        <w:spacing w:line="360" w:lineRule="auto"/>
        <w:jc w:val="left"/>
      </w:pPr>
      <w:r>
        <w:rPr>
          <w:rFonts w:hint="eastAsia"/>
        </w:rPr>
        <w:t>6.添加资质，用于采集注册人员的专业技术资质信息，是选填内容，如下图所示：</w:t>
      </w:r>
    </w:p>
    <w:p>
      <w:pPr>
        <w:spacing w:line="360" w:lineRule="auto"/>
      </w:pPr>
      <w:r>
        <w:drawing>
          <wp:inline distT="0" distB="0" distL="0" distR="0">
            <wp:extent cx="5274310" cy="687705"/>
            <wp:effectExtent l="19050" t="19050" r="21590" b="17145"/>
            <wp:docPr id="7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3"/>
                    <pic:cNvPicPr>
                      <a:picLocks noChangeAspect="1"/>
                    </pic:cNvPicPr>
                  </pic:nvPicPr>
                  <pic:blipFill>
                    <a:blip r:embed="rId21"/>
                    <a:stretch>
                      <a:fillRect/>
                    </a:stretch>
                  </pic:blipFill>
                  <pic:spPr>
                    <a:xfrm>
                      <a:off x="0" y="0"/>
                      <a:ext cx="5274310" cy="687980"/>
                    </a:xfrm>
                    <a:prstGeom prst="rect">
                      <a:avLst/>
                    </a:prstGeom>
                    <a:ln w="6350">
                      <a:solidFill>
                        <a:schemeClr val="tx1"/>
                      </a:solidFill>
                    </a:ln>
                  </pic:spPr>
                </pic:pic>
              </a:graphicData>
            </a:graphic>
          </wp:inline>
        </w:drawing>
      </w:r>
    </w:p>
    <w:p>
      <w:pPr>
        <w:spacing w:line="360" w:lineRule="auto"/>
      </w:pPr>
      <w:r>
        <w:rPr>
          <w:rFonts w:hint="eastAsia"/>
        </w:rPr>
        <w:t>7.对已有的专业技术资质信息可以修改、删除。</w:t>
      </w:r>
    </w:p>
    <w:p>
      <w:pPr>
        <w:spacing w:line="360" w:lineRule="auto"/>
      </w:pPr>
      <w:r>
        <w:rPr>
          <w:rFonts w:hint="eastAsia"/>
        </w:rPr>
        <w:t>8.点击【添加资质】，或点击记录内操作列的【修改】按钮，弹出[专业资质信息]编辑页面，如下图所示：</w:t>
      </w:r>
    </w:p>
    <w:p>
      <w:pPr>
        <w:spacing w:line="360" w:lineRule="auto"/>
      </w:pPr>
      <w:r>
        <w:drawing>
          <wp:inline distT="0" distB="0" distL="0" distR="0">
            <wp:extent cx="5274310" cy="3421380"/>
            <wp:effectExtent l="19050" t="19050" r="21590" b="26670"/>
            <wp:docPr id="7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6"/>
                    <pic:cNvPicPr>
                      <a:picLocks noChangeAspect="1"/>
                    </pic:cNvPicPr>
                  </pic:nvPicPr>
                  <pic:blipFill>
                    <a:blip r:embed="rId22"/>
                    <a:stretch>
                      <a:fillRect/>
                    </a:stretch>
                  </pic:blipFill>
                  <pic:spPr>
                    <a:xfrm>
                      <a:off x="0" y="0"/>
                      <a:ext cx="5274310" cy="3421587"/>
                    </a:xfrm>
                    <a:prstGeom prst="rect">
                      <a:avLst/>
                    </a:prstGeom>
                    <a:ln w="6350">
                      <a:solidFill>
                        <a:schemeClr val="tx1"/>
                      </a:solidFill>
                    </a:ln>
                  </pic:spPr>
                </pic:pic>
              </a:graphicData>
            </a:graphic>
          </wp:inline>
        </w:drawing>
      </w:r>
    </w:p>
    <w:p>
      <w:pPr>
        <w:pStyle w:val="22"/>
        <w:numPr>
          <w:ilvl w:val="0"/>
          <w:numId w:val="3"/>
        </w:numPr>
        <w:spacing w:line="360" w:lineRule="auto"/>
        <w:ind w:firstLineChars="0"/>
      </w:pPr>
      <w:r>
        <w:rPr>
          <w:rFonts w:hint="eastAsia"/>
        </w:rPr>
        <w:t>资质类别：下拉菜单选择，单选，必填</w:t>
      </w:r>
    </w:p>
    <w:p>
      <w:pPr>
        <w:pStyle w:val="22"/>
        <w:numPr>
          <w:ilvl w:val="0"/>
          <w:numId w:val="3"/>
        </w:numPr>
        <w:spacing w:line="360" w:lineRule="auto"/>
        <w:ind w:firstLineChars="0"/>
      </w:pPr>
      <w:r>
        <w:rPr>
          <w:rFonts w:hint="eastAsia"/>
        </w:rPr>
        <w:t>证书编号：手动输入，最大允许50个字节，必填</w:t>
      </w:r>
    </w:p>
    <w:p>
      <w:pPr>
        <w:pStyle w:val="22"/>
        <w:numPr>
          <w:ilvl w:val="0"/>
          <w:numId w:val="3"/>
        </w:numPr>
        <w:spacing w:line="360" w:lineRule="auto"/>
        <w:ind w:firstLineChars="0"/>
      </w:pPr>
      <w:r>
        <w:rPr>
          <w:rFonts w:hint="eastAsia"/>
        </w:rPr>
        <w:t>发证日期：日期选择，小于等于当前日期，必填</w:t>
      </w:r>
    </w:p>
    <w:p>
      <w:pPr>
        <w:pStyle w:val="22"/>
        <w:numPr>
          <w:ilvl w:val="0"/>
          <w:numId w:val="3"/>
        </w:numPr>
        <w:spacing w:line="360" w:lineRule="auto"/>
        <w:ind w:firstLineChars="0"/>
      </w:pPr>
      <w:r>
        <w:rPr>
          <w:rFonts w:hint="eastAsia"/>
        </w:rPr>
        <w:t>失效日期：日期选择，小于等于当前日期，非必填</w:t>
      </w:r>
    </w:p>
    <w:p>
      <w:pPr>
        <w:pStyle w:val="22"/>
        <w:numPr>
          <w:ilvl w:val="0"/>
          <w:numId w:val="3"/>
        </w:numPr>
        <w:spacing w:line="360" w:lineRule="auto"/>
        <w:ind w:firstLineChars="0"/>
      </w:pPr>
      <w:r>
        <w:rPr>
          <w:rFonts w:hint="eastAsia"/>
        </w:rPr>
        <w:t>下次培训日期：日期选择，大于等于当前日期，必填</w:t>
      </w:r>
    </w:p>
    <w:p>
      <w:pPr>
        <w:pStyle w:val="22"/>
        <w:numPr>
          <w:ilvl w:val="0"/>
          <w:numId w:val="3"/>
        </w:numPr>
        <w:spacing w:line="360" w:lineRule="auto"/>
        <w:ind w:firstLineChars="0"/>
      </w:pPr>
      <w:r>
        <w:rPr>
          <w:rFonts w:hint="eastAsia"/>
        </w:rPr>
        <w:t>资质范围：当资质类别为“职业病诊断医师”、“职业病鉴定专家”、“放射专业技术人员”时显示相对应的资质范围信息，其他资质类别无资质范围；允许多选，必填</w:t>
      </w:r>
    </w:p>
    <w:p>
      <w:pPr>
        <w:pStyle w:val="22"/>
        <w:numPr>
          <w:ilvl w:val="0"/>
          <w:numId w:val="3"/>
        </w:numPr>
        <w:spacing w:line="360" w:lineRule="auto"/>
        <w:ind w:firstLineChars="0"/>
      </w:pPr>
      <w:r>
        <w:rPr>
          <w:rFonts w:hint="eastAsia"/>
        </w:rPr>
        <w:t>附件：默认显示【上传】按钮，点击可以上传图片和PDF格式的文件</w:t>
      </w:r>
    </w:p>
    <w:p>
      <w:pPr>
        <w:pStyle w:val="22"/>
        <w:spacing w:line="360" w:lineRule="auto"/>
        <w:ind w:left="420" w:firstLine="0" w:firstLineChars="0"/>
      </w:pPr>
    </w:p>
    <w:p>
      <w:pPr>
        <w:spacing w:line="360" w:lineRule="auto"/>
        <w:jc w:val="left"/>
      </w:pPr>
      <w:r>
        <w:rPr>
          <w:rFonts w:hint="eastAsia"/>
        </w:rPr>
        <w:t>9.收件人信息，用于采集专业技术人员资料邮寄收件人信息，如下图所示：</w:t>
      </w:r>
    </w:p>
    <w:p>
      <w:pPr>
        <w:spacing w:line="360" w:lineRule="auto"/>
      </w:pPr>
      <w:r>
        <w:drawing>
          <wp:inline distT="0" distB="0" distL="0" distR="0">
            <wp:extent cx="5274310" cy="910590"/>
            <wp:effectExtent l="19050" t="19050" r="21590" b="22860"/>
            <wp:docPr id="73"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1"/>
                    <pic:cNvPicPr>
                      <a:picLocks noChangeAspect="1"/>
                    </pic:cNvPicPr>
                  </pic:nvPicPr>
                  <pic:blipFill>
                    <a:blip r:embed="rId23"/>
                    <a:stretch>
                      <a:fillRect/>
                    </a:stretch>
                  </pic:blipFill>
                  <pic:spPr>
                    <a:xfrm>
                      <a:off x="0" y="0"/>
                      <a:ext cx="5274310" cy="910795"/>
                    </a:xfrm>
                    <a:prstGeom prst="rect">
                      <a:avLst/>
                    </a:prstGeom>
                    <a:ln w="6350">
                      <a:solidFill>
                        <a:schemeClr val="tx1"/>
                      </a:solidFill>
                    </a:ln>
                  </pic:spPr>
                </pic:pic>
              </a:graphicData>
            </a:graphic>
          </wp:inline>
        </w:drawing>
      </w:r>
    </w:p>
    <w:p>
      <w:pPr>
        <w:spacing w:line="360" w:lineRule="auto"/>
      </w:pPr>
      <w:r>
        <w:rPr>
          <w:rFonts w:hint="eastAsia"/>
        </w:rPr>
        <w:t>10.信息填写说明</w:t>
      </w:r>
    </w:p>
    <w:p>
      <w:pPr>
        <w:pStyle w:val="22"/>
        <w:numPr>
          <w:ilvl w:val="0"/>
          <w:numId w:val="2"/>
        </w:numPr>
        <w:spacing w:line="360" w:lineRule="auto"/>
        <w:ind w:firstLineChars="0"/>
      </w:pPr>
      <w:r>
        <w:rPr>
          <w:rFonts w:hint="eastAsia"/>
        </w:rPr>
        <w:t>姓名：收件人姓名，手动输入，必填</w:t>
      </w:r>
    </w:p>
    <w:p>
      <w:pPr>
        <w:pStyle w:val="22"/>
        <w:numPr>
          <w:ilvl w:val="0"/>
          <w:numId w:val="2"/>
        </w:numPr>
        <w:spacing w:line="360" w:lineRule="auto"/>
        <w:ind w:firstLineChars="0"/>
      </w:pPr>
      <w:r>
        <w:rPr>
          <w:rFonts w:hint="eastAsia"/>
        </w:rPr>
        <w:t>联系电话：收件人的联系电话，支持移动号码和座机，手动输入，规则校验，必填</w:t>
      </w:r>
    </w:p>
    <w:p>
      <w:pPr>
        <w:pStyle w:val="22"/>
        <w:numPr>
          <w:ilvl w:val="0"/>
          <w:numId w:val="2"/>
        </w:numPr>
        <w:spacing w:line="360" w:lineRule="auto"/>
        <w:ind w:firstLineChars="0"/>
      </w:pPr>
      <w:r>
        <w:rPr>
          <w:rFonts w:hint="eastAsia"/>
        </w:rPr>
        <w:t>邮编：收件人邮编，手动输入，规则校验</w:t>
      </w:r>
    </w:p>
    <w:p>
      <w:pPr>
        <w:pStyle w:val="22"/>
        <w:numPr>
          <w:ilvl w:val="0"/>
          <w:numId w:val="2"/>
        </w:numPr>
        <w:spacing w:line="360" w:lineRule="auto"/>
        <w:ind w:firstLineChars="0"/>
      </w:pPr>
      <w:r>
        <w:rPr>
          <w:rFonts w:hint="eastAsia"/>
        </w:rPr>
        <w:t>收件地址：手动输入，最大支持100个中文字，必填</w:t>
      </w:r>
    </w:p>
    <w:p>
      <w:pPr>
        <w:spacing w:line="360" w:lineRule="auto"/>
      </w:pPr>
    </w:p>
    <w:p>
      <w:pPr>
        <w:pStyle w:val="2"/>
        <w:spacing w:before="156" w:after="156"/>
        <w:rPr>
          <w:rFonts w:ascii="宋体" w:hAnsi="宋体"/>
        </w:rPr>
      </w:pPr>
      <w:bookmarkStart w:id="50" w:name="_Toc519752812"/>
      <w:bookmarkStart w:id="51" w:name="_Toc508986673"/>
      <w:r>
        <w:rPr>
          <w:rFonts w:hint="eastAsia" w:ascii="宋体" w:hAnsi="宋体"/>
        </w:rPr>
        <w:t>第四章 集体报名</w:t>
      </w:r>
      <w:bookmarkEnd w:id="50"/>
    </w:p>
    <w:bookmarkEnd w:id="51"/>
    <w:p>
      <w:pPr>
        <w:pStyle w:val="3"/>
        <w:spacing w:before="156" w:after="156"/>
      </w:pPr>
      <w:bookmarkStart w:id="52" w:name="_Toc519752813"/>
      <w:r>
        <w:rPr>
          <w:rFonts w:hint="eastAsia"/>
        </w:rPr>
        <w:t>4.1 功能说明</w:t>
      </w:r>
      <w:bookmarkEnd w:id="52"/>
    </w:p>
    <w:p>
      <w:pPr>
        <w:spacing w:line="360" w:lineRule="auto"/>
        <w:ind w:firstLine="420"/>
        <w:rPr>
          <w:rFonts w:hint="eastAsia" w:eastAsiaTheme="minorEastAsia"/>
          <w:szCs w:val="21"/>
          <w:lang w:eastAsia="zh-CN"/>
        </w:rPr>
      </w:pPr>
      <w:r>
        <w:rPr>
          <w:rFonts w:hint="eastAsia"/>
          <w:szCs w:val="21"/>
        </w:rPr>
        <w:t>功能说明：用于机构对已发布的培训计划进行人员集体报名，并且</w:t>
      </w:r>
      <w:r>
        <w:rPr>
          <w:rFonts w:hint="eastAsia"/>
          <w:szCs w:val="21"/>
          <w:lang w:val="en-US" w:eastAsia="zh-CN"/>
        </w:rPr>
        <w:t>可以</w:t>
      </w:r>
      <w:r>
        <w:rPr>
          <w:rFonts w:hint="eastAsia"/>
          <w:szCs w:val="21"/>
        </w:rPr>
        <w:t>查看本单位人员的报名情况</w:t>
      </w:r>
      <w:r>
        <w:rPr>
          <w:rFonts w:hint="eastAsia"/>
          <w:szCs w:val="21"/>
          <w:lang w:eastAsia="zh-CN"/>
        </w:rPr>
        <w:t>。</w:t>
      </w:r>
    </w:p>
    <w:p>
      <w:pPr>
        <w:pStyle w:val="3"/>
        <w:spacing w:before="156" w:after="156"/>
      </w:pPr>
      <w:bookmarkStart w:id="53" w:name="_Toc519752814"/>
      <w:r>
        <w:rPr>
          <w:rFonts w:hint="eastAsia"/>
        </w:rPr>
        <w:t>4.2菜单</w:t>
      </w:r>
      <w:bookmarkEnd w:id="53"/>
    </w:p>
    <w:p>
      <w:pPr>
        <w:spacing w:line="360" w:lineRule="auto"/>
        <w:ind w:firstLine="420"/>
      </w:pPr>
      <w:r>
        <w:rPr>
          <w:rFonts w:hint="eastAsia"/>
        </w:rPr>
        <w:t>单位账户</w:t>
      </w:r>
      <w:r>
        <w:rPr>
          <w:rFonts w:hint="eastAsia"/>
          <w:szCs w:val="21"/>
        </w:rPr>
        <w:t>登录</w:t>
      </w:r>
      <w:r>
        <w:rPr>
          <w:rFonts w:hint="eastAsia"/>
        </w:rPr>
        <w:t>系统后点击[技术人员培训管理]——[集体报名]进入操作界面。</w:t>
      </w:r>
    </w:p>
    <w:p>
      <w:pPr>
        <w:spacing w:line="360" w:lineRule="auto"/>
      </w:pPr>
      <w:r>
        <w:drawing>
          <wp:inline distT="0" distB="0" distL="114300" distR="114300">
            <wp:extent cx="4833620" cy="1197610"/>
            <wp:effectExtent l="0" t="0" r="5080" b="254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24"/>
                    <a:stretch>
                      <a:fillRect/>
                    </a:stretch>
                  </pic:blipFill>
                  <pic:spPr>
                    <a:xfrm>
                      <a:off x="0" y="0"/>
                      <a:ext cx="4833620" cy="1197610"/>
                    </a:xfrm>
                    <a:prstGeom prst="rect">
                      <a:avLst/>
                    </a:prstGeom>
                    <a:noFill/>
                    <a:ln w="9525">
                      <a:noFill/>
                    </a:ln>
                  </pic:spPr>
                </pic:pic>
              </a:graphicData>
            </a:graphic>
          </wp:inline>
        </w:drawing>
      </w:r>
    </w:p>
    <w:p>
      <w:pPr>
        <w:spacing w:line="360" w:lineRule="auto"/>
        <w:jc w:val="center"/>
      </w:pPr>
      <w:r>
        <w:rPr>
          <w:rFonts w:hint="eastAsia"/>
        </w:rPr>
        <w:t>集体报名菜单</w:t>
      </w:r>
    </w:p>
    <w:p>
      <w:pPr>
        <w:spacing w:line="360" w:lineRule="auto"/>
        <w:jc w:val="center"/>
      </w:pPr>
    </w:p>
    <w:p>
      <w:pPr>
        <w:spacing w:line="360" w:lineRule="auto"/>
        <w:jc w:val="center"/>
      </w:pPr>
    </w:p>
    <w:p>
      <w:pPr>
        <w:pStyle w:val="3"/>
        <w:spacing w:before="156" w:after="156"/>
      </w:pPr>
      <w:bookmarkStart w:id="54" w:name="_Toc519752815"/>
      <w:r>
        <w:rPr>
          <w:rFonts w:hint="eastAsia"/>
        </w:rPr>
        <w:t>4.3主页面</w:t>
      </w:r>
      <w:bookmarkEnd w:id="54"/>
    </w:p>
    <w:p>
      <w:pPr>
        <w:spacing w:line="360" w:lineRule="auto"/>
      </w:pPr>
      <w:r>
        <w:rPr>
          <w:rFonts w:hint="eastAsia"/>
        </w:rPr>
        <w:t>1、[集体报名]主界面显示如下图：</w:t>
      </w:r>
    </w:p>
    <w:p>
      <w:pPr>
        <w:spacing w:line="360" w:lineRule="auto"/>
      </w:pPr>
      <w:r>
        <w:drawing>
          <wp:inline distT="0" distB="0" distL="114300" distR="114300">
            <wp:extent cx="5262880" cy="1209675"/>
            <wp:effectExtent l="9525" t="9525" r="23495" b="19050"/>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pic:cNvPicPr>
                  </pic:nvPicPr>
                  <pic:blipFill>
                    <a:blip r:embed="rId25"/>
                    <a:stretch>
                      <a:fillRect/>
                    </a:stretch>
                  </pic:blipFill>
                  <pic:spPr>
                    <a:xfrm>
                      <a:off x="0" y="0"/>
                      <a:ext cx="5262880" cy="1209675"/>
                    </a:xfrm>
                    <a:prstGeom prst="rect">
                      <a:avLst/>
                    </a:prstGeom>
                    <a:noFill/>
                    <a:ln w="6350">
                      <a:solidFill>
                        <a:schemeClr val="accent1"/>
                      </a:solidFill>
                    </a:ln>
                  </pic:spPr>
                </pic:pic>
              </a:graphicData>
            </a:graphic>
          </wp:inline>
        </w:drawing>
      </w:r>
    </w:p>
    <w:p>
      <w:pPr>
        <w:spacing w:line="360" w:lineRule="auto"/>
      </w:pPr>
      <w:r>
        <w:rPr>
          <w:rFonts w:hint="eastAsia"/>
        </w:rPr>
        <w:t>2、查询条件说明</w:t>
      </w:r>
    </w:p>
    <w:p>
      <w:pPr>
        <w:pStyle w:val="22"/>
        <w:numPr>
          <w:ilvl w:val="0"/>
          <w:numId w:val="4"/>
        </w:numPr>
        <w:spacing w:line="360" w:lineRule="auto"/>
        <w:ind w:firstLineChars="0"/>
      </w:pPr>
      <w:r>
        <w:rPr>
          <w:rFonts w:hint="eastAsia"/>
        </w:rPr>
        <w:t>培训班类型：点击下拉显示所有培训班类型，选择后可查询该类型的培训班</w:t>
      </w:r>
    </w:p>
    <w:p>
      <w:pPr>
        <w:pStyle w:val="22"/>
        <w:numPr>
          <w:ilvl w:val="0"/>
          <w:numId w:val="4"/>
        </w:numPr>
        <w:spacing w:line="360" w:lineRule="auto"/>
        <w:ind w:firstLineChars="0"/>
      </w:pPr>
      <w:r>
        <w:rPr>
          <w:rFonts w:hint="eastAsia"/>
        </w:rPr>
        <w:t>培训班名称：手动输入，支持模糊查询</w:t>
      </w:r>
    </w:p>
    <w:p>
      <w:pPr>
        <w:pStyle w:val="22"/>
        <w:numPr>
          <w:ilvl w:val="0"/>
          <w:numId w:val="4"/>
        </w:numPr>
        <w:spacing w:line="360" w:lineRule="auto"/>
        <w:ind w:firstLineChars="0"/>
      </w:pPr>
      <w:r>
        <w:rPr>
          <w:rFonts w:hint="eastAsia"/>
        </w:rPr>
        <w:t>报名截止日期：截止开始日期默认显示当前日期，与“是否截止”组合可查询某一时间段内培训班信息</w:t>
      </w:r>
    </w:p>
    <w:p>
      <w:pPr>
        <w:pStyle w:val="22"/>
        <w:numPr>
          <w:ilvl w:val="0"/>
          <w:numId w:val="4"/>
        </w:numPr>
        <w:spacing w:line="360" w:lineRule="auto"/>
        <w:ind w:firstLineChars="0"/>
      </w:pPr>
      <w:r>
        <w:rPr>
          <w:rFonts w:hint="eastAsia"/>
        </w:rPr>
        <w:t>是否截止：显示“是、否”两个点选框，单选，默认选中“否”查询未截止报名的培训班</w:t>
      </w:r>
    </w:p>
    <w:p>
      <w:pPr>
        <w:pStyle w:val="22"/>
        <w:numPr>
          <w:ilvl w:val="0"/>
          <w:numId w:val="4"/>
        </w:numPr>
        <w:spacing w:line="360" w:lineRule="auto"/>
        <w:ind w:firstLineChars="0"/>
      </w:pPr>
      <w:r>
        <w:rPr>
          <w:rFonts w:hint="eastAsia"/>
        </w:rPr>
        <w:t>状态：显示“未报名、报名中、已报名、已报名（有退回）”四个状态勾选框，支持单选、复选、取消勾选</w:t>
      </w:r>
    </w:p>
    <w:p>
      <w:pPr>
        <w:spacing w:line="360" w:lineRule="auto"/>
      </w:pPr>
      <w:r>
        <w:rPr>
          <w:rFonts w:hint="eastAsia"/>
        </w:rPr>
        <w:t>3、查询结果说明</w:t>
      </w:r>
    </w:p>
    <w:p>
      <w:pPr>
        <w:pStyle w:val="22"/>
        <w:numPr>
          <w:ilvl w:val="0"/>
          <w:numId w:val="5"/>
        </w:numPr>
        <w:spacing w:line="360" w:lineRule="auto"/>
        <w:ind w:firstLineChars="0"/>
      </w:pPr>
      <w:r>
        <w:rPr>
          <w:rFonts w:hint="eastAsia"/>
        </w:rPr>
        <w:t>显示列表包含：培训班类型、培训班名称，培训对象、报名截止日期、是否截止、总报名人数、本单位报名人数、状态、操作</w:t>
      </w:r>
    </w:p>
    <w:p>
      <w:pPr>
        <w:pStyle w:val="22"/>
        <w:numPr>
          <w:ilvl w:val="0"/>
          <w:numId w:val="5"/>
        </w:numPr>
        <w:spacing w:line="360" w:lineRule="auto"/>
        <w:ind w:firstLineChars="0"/>
      </w:pPr>
      <w:r>
        <w:rPr>
          <w:rFonts w:hint="eastAsia"/>
        </w:rPr>
        <w:t>查询结果按照报名截止日期正序、培训班类型进行排序</w:t>
      </w:r>
    </w:p>
    <w:p>
      <w:pPr>
        <w:pStyle w:val="22"/>
        <w:numPr>
          <w:ilvl w:val="0"/>
          <w:numId w:val="5"/>
        </w:numPr>
        <w:spacing w:line="360" w:lineRule="auto"/>
        <w:ind w:firstLineChars="0"/>
      </w:pPr>
      <w:r>
        <w:rPr>
          <w:rFonts w:hint="eastAsia"/>
        </w:rPr>
        <w:t>状态显示列值为“未报名”标黑，“已报名”标绿，“已报名（有退回）”标红</w:t>
      </w:r>
    </w:p>
    <w:p>
      <w:pPr>
        <w:pStyle w:val="22"/>
        <w:numPr>
          <w:ilvl w:val="0"/>
          <w:numId w:val="5"/>
        </w:numPr>
        <w:spacing w:line="360" w:lineRule="auto"/>
        <w:ind w:firstLineChars="0"/>
      </w:pPr>
      <w:r>
        <w:rPr>
          <w:rFonts w:hint="eastAsia"/>
        </w:rPr>
        <w:t>未截止的培训计划且报名状态为未报名或者报名中，操作列显示为“报名”</w:t>
      </w:r>
    </w:p>
    <w:p>
      <w:pPr>
        <w:pStyle w:val="22"/>
        <w:numPr>
          <w:ilvl w:val="0"/>
          <w:numId w:val="5"/>
        </w:numPr>
        <w:spacing w:line="360" w:lineRule="auto"/>
        <w:ind w:firstLineChars="0"/>
      </w:pPr>
      <w:r>
        <w:rPr>
          <w:rFonts w:hint="eastAsia"/>
        </w:rPr>
        <w:t>已截止的培训计划或报名状态为已报名或者已报名（有退回），操作列显示为“查看”</w:t>
      </w:r>
    </w:p>
    <w:p>
      <w:pPr>
        <w:spacing w:line="360" w:lineRule="auto"/>
        <w:jc w:val="center"/>
      </w:pPr>
    </w:p>
    <w:p>
      <w:pPr>
        <w:pStyle w:val="3"/>
        <w:spacing w:before="156" w:after="156"/>
      </w:pPr>
      <w:bookmarkStart w:id="55" w:name="_Toc519752816"/>
      <w:r>
        <w:rPr>
          <w:rFonts w:hint="eastAsia"/>
        </w:rPr>
        <w:t>4.4报名信息</w:t>
      </w:r>
      <w:bookmarkEnd w:id="55"/>
    </w:p>
    <w:p>
      <w:pPr>
        <w:spacing w:line="360" w:lineRule="auto"/>
      </w:pPr>
      <w:r>
        <w:rPr>
          <w:rFonts w:hint="eastAsia"/>
        </w:rPr>
        <w:t>1、点击主页面操作列[报名]进入集体报名信息填写页面，显示如下图：</w:t>
      </w:r>
    </w:p>
    <w:p>
      <w:pPr>
        <w:spacing w:line="360" w:lineRule="auto"/>
      </w:pPr>
      <w:r>
        <w:drawing>
          <wp:inline distT="0" distB="0" distL="114300" distR="114300">
            <wp:extent cx="5262245" cy="2600960"/>
            <wp:effectExtent l="9525" t="9525" r="24130" b="18415"/>
            <wp:docPr id="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
                    <pic:cNvPicPr>
                      <a:picLocks noChangeAspect="1"/>
                    </pic:cNvPicPr>
                  </pic:nvPicPr>
                  <pic:blipFill>
                    <a:blip r:embed="rId26"/>
                    <a:stretch>
                      <a:fillRect/>
                    </a:stretch>
                  </pic:blipFill>
                  <pic:spPr>
                    <a:xfrm>
                      <a:off x="0" y="0"/>
                      <a:ext cx="5262245" cy="2600960"/>
                    </a:xfrm>
                    <a:prstGeom prst="rect">
                      <a:avLst/>
                    </a:prstGeom>
                    <a:noFill/>
                    <a:ln w="6350">
                      <a:solidFill>
                        <a:schemeClr val="accent1"/>
                      </a:solidFill>
                    </a:ln>
                  </pic:spPr>
                </pic:pic>
              </a:graphicData>
            </a:graphic>
          </wp:inline>
        </w:drawing>
      </w:r>
    </w:p>
    <w:p>
      <w:pPr>
        <w:spacing w:line="360" w:lineRule="auto"/>
      </w:pPr>
      <w:r>
        <w:rPr>
          <w:rFonts w:hint="eastAsia"/>
        </w:rPr>
        <w:t>2、培训信息区域显示该培训班发布的信息，只能查看不能修改，附件可以查看</w:t>
      </w:r>
    </w:p>
    <w:p>
      <w:pPr>
        <w:spacing w:line="360" w:lineRule="auto"/>
      </w:pPr>
      <w:r>
        <w:rPr>
          <w:rFonts w:hint="eastAsia"/>
        </w:rPr>
        <w:t>3、报名人员添加说明</w:t>
      </w:r>
    </w:p>
    <w:p>
      <w:pPr>
        <w:spacing w:line="360" w:lineRule="auto"/>
      </w:pPr>
      <w:r>
        <w:rPr>
          <w:rFonts w:hint="eastAsia"/>
          <w:lang w:eastAsia="zh-CN"/>
        </w:rPr>
        <w:t>（</w:t>
      </w:r>
      <w:r>
        <w:rPr>
          <w:rFonts w:hint="eastAsia"/>
          <w:lang w:val="en-US" w:eastAsia="zh-CN"/>
        </w:rPr>
        <w:t>1</w:t>
      </w:r>
      <w:r>
        <w:rPr>
          <w:rFonts w:hint="eastAsia"/>
          <w:lang w:eastAsia="zh-CN"/>
        </w:rPr>
        <w:t>）</w:t>
      </w:r>
      <w:r>
        <w:rPr>
          <w:rFonts w:hint="eastAsia"/>
        </w:rPr>
        <w:t>如果点击“添加”：弹出人员选择界面，显示本单位所有在职的资质人员（机构资质申报中的人员信息）</w:t>
      </w:r>
    </w:p>
    <w:p>
      <w:pPr>
        <w:spacing w:line="360" w:lineRule="auto"/>
      </w:pPr>
      <w:r>
        <w:drawing>
          <wp:inline distT="0" distB="0" distL="0" distR="0">
            <wp:extent cx="5029200" cy="2506980"/>
            <wp:effectExtent l="19050" t="19050" r="19050" b="26670"/>
            <wp:docPr id="1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2"/>
                    <pic:cNvPicPr>
                      <a:picLocks noChangeAspect="1"/>
                    </pic:cNvPicPr>
                  </pic:nvPicPr>
                  <pic:blipFill>
                    <a:blip r:embed="rId27"/>
                    <a:stretch>
                      <a:fillRect/>
                    </a:stretch>
                  </pic:blipFill>
                  <pic:spPr>
                    <a:xfrm>
                      <a:off x="0" y="0"/>
                      <a:ext cx="5034495" cy="2509672"/>
                    </a:xfrm>
                    <a:prstGeom prst="rect">
                      <a:avLst/>
                    </a:prstGeom>
                    <a:ln w="6350">
                      <a:solidFill>
                        <a:schemeClr val="tx1"/>
                      </a:solidFill>
                    </a:ln>
                  </pic:spPr>
                </pic:pic>
              </a:graphicData>
            </a:graphic>
          </wp:inline>
        </w:drawing>
      </w:r>
    </w:p>
    <w:p>
      <w:pPr>
        <w:spacing w:line="360" w:lineRule="auto"/>
        <w:ind w:firstLine="210" w:firstLineChars="100"/>
      </w:pPr>
      <w:r>
        <w:rPr>
          <w:rFonts w:hint="eastAsia"/>
          <w:lang w:eastAsia="zh-CN"/>
        </w:rPr>
        <w:t>（</w:t>
      </w:r>
      <w:r>
        <w:rPr>
          <w:rFonts w:hint="eastAsia"/>
          <w:lang w:val="en-US" w:eastAsia="zh-CN"/>
        </w:rPr>
        <w:t>2</w:t>
      </w:r>
      <w:r>
        <w:rPr>
          <w:rFonts w:hint="eastAsia"/>
          <w:lang w:eastAsia="zh-CN"/>
        </w:rPr>
        <w:t>）</w:t>
      </w:r>
      <w:r>
        <w:rPr>
          <w:rFonts w:hint="eastAsia"/>
        </w:rPr>
        <w:t>勾选人员后点击确定，显示报名人员列表，如下图所示：</w:t>
      </w:r>
    </w:p>
    <w:p>
      <w:pPr>
        <w:spacing w:line="360" w:lineRule="auto"/>
      </w:pPr>
      <w:r>
        <w:drawing>
          <wp:inline distT="0" distB="0" distL="0" distR="0">
            <wp:extent cx="5274310" cy="1659890"/>
            <wp:effectExtent l="19050" t="19050" r="21590" b="16510"/>
            <wp:docPr id="13"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5"/>
                    <pic:cNvPicPr>
                      <a:picLocks noChangeAspect="1"/>
                    </pic:cNvPicPr>
                  </pic:nvPicPr>
                  <pic:blipFill>
                    <a:blip r:embed="rId28"/>
                    <a:stretch>
                      <a:fillRect/>
                    </a:stretch>
                  </pic:blipFill>
                  <pic:spPr>
                    <a:xfrm>
                      <a:off x="0" y="0"/>
                      <a:ext cx="5274310" cy="1660431"/>
                    </a:xfrm>
                    <a:prstGeom prst="rect">
                      <a:avLst/>
                    </a:prstGeom>
                    <a:ln w="6350">
                      <a:solidFill>
                        <a:schemeClr val="tx1"/>
                      </a:solidFill>
                    </a:ln>
                  </pic:spPr>
                </pic:pic>
              </a:graphicData>
            </a:graphic>
          </wp:inline>
        </w:drawing>
      </w:r>
    </w:p>
    <w:p>
      <w:pPr>
        <w:pStyle w:val="22"/>
        <w:numPr>
          <w:ilvl w:val="0"/>
          <w:numId w:val="5"/>
        </w:numPr>
        <w:spacing w:line="360" w:lineRule="auto"/>
        <w:ind w:firstLineChars="0"/>
      </w:pPr>
      <w:r>
        <w:rPr>
          <w:rFonts w:hint="eastAsia"/>
        </w:rPr>
        <w:t>年龄：当年龄超过</w:t>
      </w:r>
      <w:r>
        <w:rPr>
          <w:rFonts w:hint="eastAsia"/>
          <w:lang w:val="en-US" w:eastAsia="zh-CN"/>
        </w:rPr>
        <w:t>设定的限值</w:t>
      </w:r>
      <w:r>
        <w:rPr>
          <w:rFonts w:hint="eastAsia"/>
        </w:rPr>
        <w:t>时</w:t>
      </w:r>
      <w:r>
        <w:rPr>
          <w:rFonts w:hint="eastAsia"/>
          <w:lang w:val="en-US" w:eastAsia="zh-CN"/>
        </w:rPr>
        <w:t>会以</w:t>
      </w:r>
      <w:r>
        <w:rPr>
          <w:rFonts w:hint="eastAsia"/>
        </w:rPr>
        <w:t>红色</w:t>
      </w:r>
      <w:r>
        <w:rPr>
          <w:rFonts w:hint="eastAsia"/>
          <w:lang w:val="en-US" w:eastAsia="zh-CN"/>
        </w:rPr>
        <w:t>字体</w:t>
      </w:r>
      <w:r>
        <w:rPr>
          <w:rFonts w:hint="eastAsia"/>
        </w:rPr>
        <w:t>显示，</w:t>
      </w:r>
      <w:r>
        <w:rPr>
          <w:rFonts w:hint="eastAsia"/>
          <w:lang w:val="en-US" w:eastAsia="zh-CN"/>
        </w:rPr>
        <w:t>给</w:t>
      </w:r>
      <w:r>
        <w:rPr>
          <w:rFonts w:hint="eastAsia"/>
        </w:rPr>
        <w:t>报名</w:t>
      </w:r>
      <w:r>
        <w:rPr>
          <w:rFonts w:hint="eastAsia"/>
          <w:lang w:val="en-US" w:eastAsia="zh-CN"/>
        </w:rPr>
        <w:t>操作人员以</w:t>
      </w:r>
      <w:r>
        <w:rPr>
          <w:rFonts w:hint="eastAsia"/>
        </w:rPr>
        <w:t>提醒</w:t>
      </w:r>
      <w:r>
        <w:rPr>
          <w:rFonts w:hint="eastAsia"/>
          <w:lang w:eastAsia="zh-CN"/>
        </w:rPr>
        <w:t>；</w:t>
      </w:r>
    </w:p>
    <w:p>
      <w:pPr>
        <w:pStyle w:val="22"/>
        <w:numPr>
          <w:ilvl w:val="0"/>
          <w:numId w:val="5"/>
        </w:numPr>
        <w:spacing w:line="360" w:lineRule="auto"/>
        <w:ind w:firstLineChars="0"/>
      </w:pPr>
      <w:r>
        <w:rPr>
          <w:rFonts w:hint="eastAsia"/>
        </w:rPr>
        <w:t>职称级别：诊断医师培训需要中级及以上的职称，若不符合红色显示，提醒报名人员</w:t>
      </w:r>
    </w:p>
    <w:p>
      <w:pPr>
        <w:pStyle w:val="22"/>
        <w:numPr>
          <w:ilvl w:val="0"/>
          <w:numId w:val="5"/>
        </w:numPr>
        <w:spacing w:line="360" w:lineRule="auto"/>
        <w:ind w:firstLineChars="0"/>
      </w:pPr>
      <w:r>
        <w:rPr>
          <w:rFonts w:hint="eastAsia"/>
        </w:rPr>
        <w:t>状态：未提交报名的显示“未报名”；已提交报名但未审核的显示“已报名”；审核通过的显示</w:t>
      </w:r>
      <w:r>
        <w:rPr>
          <w:rFonts w:hint="eastAsia"/>
          <w:lang w:eastAsia="zh-CN"/>
        </w:rPr>
        <w:t>“</w:t>
      </w:r>
      <w:r>
        <w:rPr>
          <w:rFonts w:hint="eastAsia"/>
          <w:lang w:val="en-US" w:eastAsia="zh-CN"/>
        </w:rPr>
        <w:t>审核通过</w:t>
      </w:r>
      <w:r>
        <w:rPr>
          <w:rFonts w:hint="eastAsia"/>
          <w:lang w:eastAsia="zh-CN"/>
        </w:rPr>
        <w:t>”</w:t>
      </w:r>
      <w:r>
        <w:rPr>
          <w:rFonts w:hint="eastAsia"/>
        </w:rPr>
        <w:t>；审核不通过显示“已退回”</w:t>
      </w:r>
    </w:p>
    <w:p>
      <w:pPr>
        <w:pStyle w:val="22"/>
        <w:numPr>
          <w:ilvl w:val="0"/>
          <w:numId w:val="5"/>
        </w:numPr>
        <w:spacing w:line="360" w:lineRule="auto"/>
        <w:ind w:firstLineChars="0"/>
      </w:pPr>
      <w:r>
        <w:rPr>
          <w:rFonts w:hint="eastAsia"/>
        </w:rPr>
        <w:t>点击状态“已退回”字样，查看被退回原因</w:t>
      </w:r>
    </w:p>
    <w:p>
      <w:pPr>
        <w:pStyle w:val="22"/>
        <w:numPr>
          <w:ilvl w:val="0"/>
          <w:numId w:val="5"/>
        </w:numPr>
        <w:spacing w:line="360" w:lineRule="auto"/>
        <w:ind w:firstLineChars="0"/>
      </w:pPr>
      <w:r>
        <w:rPr>
          <w:rFonts w:hint="eastAsia"/>
        </w:rPr>
        <w:t>删除：未报名和已退回状态的人员信息可以删除；审核通过的人员无法删除</w:t>
      </w:r>
    </w:p>
    <w:p>
      <w:pPr>
        <w:spacing w:line="360" w:lineRule="auto"/>
        <w:ind w:firstLine="210" w:firstLineChars="100"/>
      </w:pPr>
      <w:r>
        <w:rPr>
          <w:rFonts w:hint="eastAsia"/>
          <w:lang w:eastAsia="zh-CN"/>
        </w:rPr>
        <w:t>（</w:t>
      </w:r>
      <w:r>
        <w:rPr>
          <w:rFonts w:hint="eastAsia"/>
          <w:lang w:val="en-US" w:eastAsia="zh-CN"/>
        </w:rPr>
        <w:t>3</w:t>
      </w:r>
      <w:r>
        <w:rPr>
          <w:rFonts w:hint="eastAsia"/>
          <w:lang w:eastAsia="zh-CN"/>
        </w:rPr>
        <w:t>）</w:t>
      </w:r>
      <w:r>
        <w:rPr>
          <w:rFonts w:hint="eastAsia"/>
        </w:rPr>
        <w:t>选中人员记录，填写报名资料（人员信息、报名信息和收件人信息）</w:t>
      </w:r>
    </w:p>
    <w:p>
      <w:pPr>
        <w:spacing w:line="360" w:lineRule="auto"/>
      </w:pPr>
      <w:r>
        <w:drawing>
          <wp:inline distT="0" distB="0" distL="0" distR="0">
            <wp:extent cx="5274310" cy="2223770"/>
            <wp:effectExtent l="19050" t="19050" r="21590" b="24130"/>
            <wp:docPr id="14"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3"/>
                    <pic:cNvPicPr>
                      <a:picLocks noChangeAspect="1"/>
                    </pic:cNvPicPr>
                  </pic:nvPicPr>
                  <pic:blipFill>
                    <a:blip r:embed="rId29"/>
                    <a:stretch>
                      <a:fillRect/>
                    </a:stretch>
                  </pic:blipFill>
                  <pic:spPr>
                    <a:xfrm>
                      <a:off x="0" y="0"/>
                      <a:ext cx="5274310" cy="2223879"/>
                    </a:xfrm>
                    <a:prstGeom prst="rect">
                      <a:avLst/>
                    </a:prstGeom>
                    <a:ln w="6350">
                      <a:solidFill>
                        <a:schemeClr val="tx1"/>
                      </a:solidFill>
                    </a:ln>
                  </pic:spPr>
                </pic:pic>
              </a:graphicData>
            </a:graphic>
          </wp:inline>
        </w:drawing>
      </w:r>
    </w:p>
    <w:p>
      <w:pPr>
        <w:pStyle w:val="22"/>
        <w:numPr>
          <w:ilvl w:val="0"/>
          <w:numId w:val="5"/>
        </w:numPr>
        <w:spacing w:line="360" w:lineRule="auto"/>
        <w:ind w:firstLineChars="0"/>
      </w:pPr>
      <w:r>
        <w:rPr>
          <w:rFonts w:hint="eastAsia"/>
        </w:rPr>
        <w:t>点击人员信息标题右侧的“完善个人信息》”，跳转个人信息页面，完善个人信息；未报名和已退回的人员可以修改个人信息；审核通过的无法修改个人信息</w:t>
      </w:r>
    </w:p>
    <w:p>
      <w:pPr>
        <w:pStyle w:val="22"/>
        <w:numPr>
          <w:ilvl w:val="0"/>
          <w:numId w:val="5"/>
        </w:numPr>
        <w:spacing w:line="360" w:lineRule="auto"/>
        <w:ind w:firstLineChars="0"/>
      </w:pPr>
      <w:r>
        <w:rPr>
          <w:rFonts w:hint="eastAsia"/>
        </w:rPr>
        <w:t>人员信息显示主要信息点，只读不可编辑</w:t>
      </w:r>
    </w:p>
    <w:p>
      <w:pPr>
        <w:spacing w:line="360" w:lineRule="auto"/>
        <w:ind w:firstLine="210" w:firstLineChars="100"/>
      </w:pPr>
      <w:r>
        <w:rPr>
          <w:rFonts w:hint="eastAsia"/>
          <w:lang w:eastAsia="zh-CN"/>
        </w:rPr>
        <w:t>（</w:t>
      </w:r>
      <w:r>
        <w:rPr>
          <w:rFonts w:hint="eastAsia"/>
          <w:lang w:val="en-US" w:eastAsia="zh-CN"/>
        </w:rPr>
        <w:t>4</w:t>
      </w:r>
      <w:r>
        <w:rPr>
          <w:rFonts w:hint="eastAsia"/>
          <w:lang w:eastAsia="zh-CN"/>
        </w:rPr>
        <w:t>）</w:t>
      </w:r>
      <w:r>
        <w:rPr>
          <w:rFonts w:hint="eastAsia"/>
        </w:rPr>
        <w:t>报名信息中选择是否需要学分证、培训类型、住宿类型和培训专业类别</w:t>
      </w:r>
    </w:p>
    <w:p>
      <w:pPr>
        <w:pStyle w:val="22"/>
        <w:numPr>
          <w:ilvl w:val="0"/>
          <w:numId w:val="5"/>
        </w:numPr>
        <w:spacing w:line="360" w:lineRule="auto"/>
        <w:ind w:firstLineChars="0"/>
      </w:pPr>
      <w:r>
        <w:rPr>
          <w:rFonts w:hint="eastAsia"/>
        </w:rPr>
        <w:t>是否需要学分证：显示“是、否”选项，单选，必选</w:t>
      </w:r>
    </w:p>
    <w:p>
      <w:pPr>
        <w:pStyle w:val="22"/>
        <w:numPr>
          <w:ilvl w:val="0"/>
          <w:numId w:val="5"/>
        </w:numPr>
        <w:spacing w:line="360" w:lineRule="auto"/>
        <w:ind w:firstLineChars="0"/>
      </w:pPr>
      <w:r>
        <w:rPr>
          <w:rFonts w:hint="eastAsia"/>
        </w:rPr>
        <w:t>培训类型：显示“初训”“复训”，单选，必选</w:t>
      </w:r>
    </w:p>
    <w:p>
      <w:pPr>
        <w:pStyle w:val="22"/>
        <w:numPr>
          <w:ilvl w:val="0"/>
          <w:numId w:val="5"/>
        </w:numPr>
        <w:spacing w:line="360" w:lineRule="auto"/>
        <w:ind w:firstLineChars="0"/>
      </w:pPr>
      <w:r>
        <w:rPr>
          <w:rFonts w:hint="eastAsia"/>
        </w:rPr>
        <w:t>住宿类型：下拉显示“单人包间”、“双人包间”、“不住宿”，单选，必选</w:t>
      </w:r>
    </w:p>
    <w:p>
      <w:pPr>
        <w:pStyle w:val="22"/>
        <w:numPr>
          <w:ilvl w:val="0"/>
          <w:numId w:val="5"/>
        </w:numPr>
        <w:spacing w:line="360" w:lineRule="auto"/>
        <w:ind w:firstLineChars="0"/>
      </w:pPr>
      <w:r>
        <w:rPr>
          <w:rFonts w:hint="eastAsia"/>
        </w:rPr>
        <w:t>培训专业类别：培训班类型为“职业病诊断医师”“职业病鉴定专家”“放射专业技术人员”时显示对应的专业类别，支持多选；“职业病诊断医师”初训人员最多同时选择3个专业</w:t>
      </w:r>
    </w:p>
    <w:p>
      <w:pPr>
        <w:spacing w:line="360" w:lineRule="auto"/>
      </w:pPr>
      <w:r>
        <w:rPr>
          <w:rFonts w:hint="eastAsia"/>
          <w:lang w:eastAsia="zh-CN"/>
        </w:rPr>
        <w:t>（</w:t>
      </w:r>
      <w:r>
        <w:rPr>
          <w:rFonts w:hint="eastAsia"/>
          <w:lang w:val="en-US" w:eastAsia="zh-CN"/>
        </w:rPr>
        <w:t>5</w:t>
      </w:r>
      <w:r>
        <w:rPr>
          <w:rFonts w:hint="eastAsia"/>
          <w:lang w:eastAsia="zh-CN"/>
        </w:rPr>
        <w:t>）</w:t>
      </w:r>
      <w:r>
        <w:rPr>
          <w:rFonts w:hint="eastAsia"/>
        </w:rPr>
        <w:t xml:space="preserve"> 收件人信息</w:t>
      </w:r>
    </w:p>
    <w:p>
      <w:pPr>
        <w:pStyle w:val="22"/>
        <w:numPr>
          <w:ilvl w:val="0"/>
          <w:numId w:val="6"/>
        </w:numPr>
        <w:spacing w:line="360" w:lineRule="auto"/>
        <w:ind w:firstLineChars="0"/>
      </w:pPr>
      <w:r>
        <w:rPr>
          <w:rFonts w:hint="eastAsia"/>
        </w:rPr>
        <w:t>收件人姓名：默认显示个人信息内填写的收件人姓名，手动输入，允许修改，必填</w:t>
      </w:r>
    </w:p>
    <w:p>
      <w:pPr>
        <w:pStyle w:val="22"/>
        <w:numPr>
          <w:ilvl w:val="0"/>
          <w:numId w:val="6"/>
        </w:numPr>
        <w:spacing w:line="360" w:lineRule="auto"/>
        <w:ind w:firstLineChars="0"/>
      </w:pPr>
      <w:r>
        <w:rPr>
          <w:rFonts w:hint="eastAsia"/>
        </w:rPr>
        <w:t>收件人联系电话：默认显示个人信息内填写的收件人联系电话，手动输入，允许修改，规则校验，必填</w:t>
      </w:r>
    </w:p>
    <w:p>
      <w:pPr>
        <w:pStyle w:val="22"/>
        <w:numPr>
          <w:ilvl w:val="0"/>
          <w:numId w:val="6"/>
        </w:numPr>
        <w:spacing w:line="360" w:lineRule="auto"/>
        <w:ind w:firstLineChars="0"/>
      </w:pPr>
      <w:r>
        <w:rPr>
          <w:rFonts w:hint="eastAsia"/>
        </w:rPr>
        <w:t>收件人邮编：默认显示个人信息内填写的收件人邮编，手动输入，允许修改，规则校验</w:t>
      </w:r>
    </w:p>
    <w:p>
      <w:pPr>
        <w:pStyle w:val="22"/>
        <w:numPr>
          <w:ilvl w:val="0"/>
          <w:numId w:val="6"/>
        </w:numPr>
        <w:spacing w:line="360" w:lineRule="auto"/>
        <w:ind w:firstLineChars="0"/>
      </w:pPr>
      <w:r>
        <w:rPr>
          <w:rFonts w:hint="eastAsia"/>
        </w:rPr>
        <w:t>收件地址：默认显示个人信息内填写的收件人地址，手动输入，最大支持100个中文字，必填</w:t>
      </w:r>
    </w:p>
    <w:p>
      <w:pPr>
        <w:spacing w:line="360" w:lineRule="auto"/>
        <w:rPr>
          <w:rFonts w:hint="eastAsia" w:eastAsiaTheme="minorEastAsia"/>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点击“</w:t>
      </w:r>
      <w:r>
        <w:rPr>
          <w:rFonts w:hint="eastAsia"/>
        </w:rPr>
        <w:t>报名</w:t>
      </w:r>
      <w:r>
        <w:rPr>
          <w:rFonts w:hint="eastAsia"/>
          <w:lang w:val="en-US" w:eastAsia="zh-CN"/>
        </w:rPr>
        <w:t>”按钮</w:t>
      </w:r>
      <w:r>
        <w:rPr>
          <w:rFonts w:hint="eastAsia"/>
        </w:rPr>
        <w:t>提交</w:t>
      </w:r>
      <w:r>
        <w:rPr>
          <w:rFonts w:hint="eastAsia"/>
          <w:lang w:val="en-US" w:eastAsia="zh-CN"/>
        </w:rPr>
        <w:t>当前人员</w:t>
      </w:r>
      <w:r>
        <w:rPr>
          <w:rFonts w:hint="eastAsia"/>
        </w:rPr>
        <w:t>报名信息</w:t>
      </w:r>
      <w:r>
        <w:rPr>
          <w:rFonts w:hint="eastAsia"/>
          <w:lang w:eastAsia="zh-CN"/>
        </w:rPr>
        <w:t>。</w:t>
      </w:r>
      <w:r>
        <w:rPr>
          <w:rFonts w:hint="eastAsia"/>
          <w:lang w:val="en-US" w:eastAsia="zh-CN"/>
        </w:rPr>
        <w:t>注意报名是一个个人操作的。</w:t>
      </w:r>
    </w:p>
    <w:p>
      <w:pPr>
        <w:spacing w:line="360" w:lineRule="auto"/>
        <w:rPr>
          <w:rFonts w:hint="eastAsia"/>
          <w:lang w:val="en-US" w:eastAsia="zh-CN"/>
        </w:rPr>
      </w:pPr>
      <w:r>
        <w:rPr>
          <w:rFonts w:hint="eastAsia"/>
          <w:lang w:val="en-US" w:eastAsia="zh-CN"/>
        </w:rPr>
        <w:t>（7）单位所有人员报名完成后，请各单位负责报名工作的人员注意关注报名审核情况，发现有退回的请查看退回原因并根据提示进行资料的完善，在报名截止日期前及时再次提交。</w:t>
      </w:r>
    </w:p>
    <w:p>
      <w:pPr>
        <w:spacing w:line="360" w:lineRule="auto"/>
      </w:pPr>
      <w:r>
        <w:drawing>
          <wp:inline distT="0" distB="0" distL="114300" distR="114300">
            <wp:extent cx="5267325" cy="1306830"/>
            <wp:effectExtent l="9525" t="9525" r="19050" b="17145"/>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30"/>
                    <a:stretch>
                      <a:fillRect/>
                    </a:stretch>
                  </pic:blipFill>
                  <pic:spPr>
                    <a:xfrm>
                      <a:off x="0" y="0"/>
                      <a:ext cx="5267325" cy="1306830"/>
                    </a:xfrm>
                    <a:prstGeom prst="rect">
                      <a:avLst/>
                    </a:prstGeom>
                    <a:noFill/>
                    <a:ln w="6350" cmpd="sng">
                      <a:solidFill>
                        <a:schemeClr val="accent1">
                          <a:shade val="50000"/>
                        </a:schemeClr>
                      </a:solidFill>
                      <a:prstDash val="solid"/>
                    </a:ln>
                  </pic:spPr>
                </pic:pic>
              </a:graphicData>
            </a:graphic>
          </wp:inline>
        </w:drawing>
      </w:r>
    </w:p>
    <w:p>
      <w:pPr>
        <w:spacing w:line="360" w:lineRule="auto"/>
        <w:rPr>
          <w:rFonts w:hint="eastAsia"/>
          <w:lang w:val="en-US" w:eastAsia="zh-CN"/>
        </w:rPr>
      </w:pPr>
      <w:r>
        <w:rPr>
          <w:rFonts w:hint="eastAsia"/>
          <w:lang w:val="en-US" w:eastAsia="zh-CN"/>
        </w:rPr>
        <w:t>注意：退回人员若未再次提交则被作为未报名来处理。</w:t>
      </w:r>
    </w:p>
    <w:p>
      <w:pPr>
        <w:spacing w:line="360" w:lineRule="auto"/>
        <w:rPr>
          <w:rFonts w:hint="eastAsia"/>
          <w:lang w:val="en-US" w:eastAsia="zh-CN"/>
        </w:rPr>
      </w:pPr>
    </w:p>
    <w:p>
      <w:pPr>
        <w:pStyle w:val="2"/>
        <w:spacing w:before="156" w:after="156"/>
        <w:rPr>
          <w:rFonts w:ascii="宋体" w:hAnsi="宋体"/>
        </w:rPr>
      </w:pPr>
      <w:bookmarkStart w:id="56" w:name="_Toc519752817"/>
      <w:r>
        <w:rPr>
          <w:rFonts w:hint="eastAsia" w:ascii="宋体" w:hAnsi="宋体"/>
        </w:rPr>
        <w:t>第五章 集体选班</w:t>
      </w:r>
      <w:bookmarkEnd w:id="56"/>
    </w:p>
    <w:p>
      <w:pPr>
        <w:pStyle w:val="3"/>
        <w:spacing w:before="156" w:after="156"/>
      </w:pPr>
      <w:bookmarkStart w:id="57" w:name="_Toc519752818"/>
      <w:r>
        <w:rPr>
          <w:rFonts w:hint="eastAsia"/>
        </w:rPr>
        <w:t>5.1 功能说明</w:t>
      </w:r>
      <w:bookmarkEnd w:id="57"/>
    </w:p>
    <w:p>
      <w:pPr>
        <w:spacing w:line="360" w:lineRule="auto"/>
        <w:ind w:firstLine="420"/>
        <w:rPr>
          <w:szCs w:val="21"/>
        </w:rPr>
      </w:pPr>
      <w:r>
        <w:rPr>
          <w:rFonts w:hint="eastAsia"/>
          <w:szCs w:val="21"/>
        </w:rPr>
        <w:t>功能说明：当培训计划完成分班后，单位可对预报名审核通过的人员进行培训班次的选择。</w:t>
      </w:r>
    </w:p>
    <w:p>
      <w:pPr>
        <w:pStyle w:val="3"/>
        <w:spacing w:before="156" w:after="156"/>
      </w:pPr>
      <w:bookmarkStart w:id="58" w:name="_Toc519752819"/>
      <w:r>
        <w:rPr>
          <w:rFonts w:hint="eastAsia"/>
        </w:rPr>
        <w:t>5.2 菜单</w:t>
      </w:r>
      <w:bookmarkEnd w:id="58"/>
    </w:p>
    <w:p>
      <w:pPr>
        <w:spacing w:line="360" w:lineRule="auto"/>
        <w:ind w:firstLine="420"/>
      </w:pPr>
      <w:r>
        <w:rPr>
          <w:rFonts w:hint="eastAsia"/>
        </w:rPr>
        <w:t>单位帐户登录系统后</w:t>
      </w:r>
      <w:r>
        <w:rPr>
          <w:rFonts w:hint="eastAsia"/>
          <w:szCs w:val="21"/>
        </w:rPr>
        <w:t>点击</w:t>
      </w:r>
      <w:r>
        <w:rPr>
          <w:rFonts w:hint="eastAsia"/>
        </w:rPr>
        <w:t>[技术人员培训管理]——[集体选班]进入操作界面。</w:t>
      </w:r>
    </w:p>
    <w:p>
      <w:r>
        <w:drawing>
          <wp:inline distT="0" distB="0" distL="114300" distR="114300">
            <wp:extent cx="4549140" cy="2699385"/>
            <wp:effectExtent l="9525" t="9525" r="13335" b="15240"/>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pic:cNvPicPr>
                      <a:picLocks noChangeAspect="1"/>
                    </pic:cNvPicPr>
                  </pic:nvPicPr>
                  <pic:blipFill>
                    <a:blip r:embed="rId31"/>
                    <a:stretch>
                      <a:fillRect/>
                    </a:stretch>
                  </pic:blipFill>
                  <pic:spPr>
                    <a:xfrm>
                      <a:off x="0" y="0"/>
                      <a:ext cx="4549140" cy="2699385"/>
                    </a:xfrm>
                    <a:prstGeom prst="rect">
                      <a:avLst/>
                    </a:prstGeom>
                    <a:noFill/>
                    <a:ln w="6350">
                      <a:solidFill>
                        <a:schemeClr val="accent1"/>
                      </a:solidFill>
                    </a:ln>
                  </pic:spPr>
                </pic:pic>
              </a:graphicData>
            </a:graphic>
          </wp:inline>
        </w:drawing>
      </w:r>
    </w:p>
    <w:p>
      <w:pPr>
        <w:spacing w:line="360" w:lineRule="auto"/>
        <w:jc w:val="center"/>
      </w:pPr>
      <w:r>
        <w:rPr>
          <w:rFonts w:hint="eastAsia"/>
        </w:rPr>
        <w:t>（&lt;集体选班&gt;菜单）</w:t>
      </w:r>
    </w:p>
    <w:p>
      <w:pPr>
        <w:pStyle w:val="3"/>
        <w:spacing w:before="156" w:after="156"/>
      </w:pPr>
      <w:bookmarkStart w:id="59" w:name="_Toc519752820"/>
      <w:r>
        <w:rPr>
          <w:rFonts w:hint="eastAsia"/>
        </w:rPr>
        <w:t>5.3 主页面</w:t>
      </w:r>
      <w:bookmarkEnd w:id="59"/>
    </w:p>
    <w:p>
      <w:pPr>
        <w:spacing w:line="360" w:lineRule="auto"/>
      </w:pPr>
      <w:r>
        <w:rPr>
          <w:rFonts w:hint="eastAsia"/>
        </w:rPr>
        <w:t>1、[集体选班]主界面显示如下图：</w:t>
      </w:r>
    </w:p>
    <w:p>
      <w:pPr>
        <w:spacing w:line="360" w:lineRule="auto"/>
      </w:pPr>
      <w:r>
        <w:drawing>
          <wp:inline distT="0" distB="0" distL="114300" distR="114300">
            <wp:extent cx="5269865" cy="1035685"/>
            <wp:effectExtent l="9525" t="9525" r="16510" b="2159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pic:cNvPicPr>
                  </pic:nvPicPr>
                  <pic:blipFill>
                    <a:blip r:embed="rId32"/>
                    <a:stretch>
                      <a:fillRect/>
                    </a:stretch>
                  </pic:blipFill>
                  <pic:spPr>
                    <a:xfrm>
                      <a:off x="0" y="0"/>
                      <a:ext cx="5269865" cy="1035685"/>
                    </a:xfrm>
                    <a:prstGeom prst="rect">
                      <a:avLst/>
                    </a:prstGeom>
                    <a:noFill/>
                    <a:ln w="6350">
                      <a:solidFill>
                        <a:schemeClr val="accent1"/>
                      </a:solidFill>
                    </a:ln>
                  </pic:spPr>
                </pic:pic>
              </a:graphicData>
            </a:graphic>
          </wp:inline>
        </w:drawing>
      </w:r>
    </w:p>
    <w:p>
      <w:pPr>
        <w:spacing w:line="360" w:lineRule="auto"/>
      </w:pPr>
      <w:r>
        <w:rPr>
          <w:rFonts w:hint="eastAsia"/>
        </w:rPr>
        <w:t>2、查询条件说明</w:t>
      </w:r>
    </w:p>
    <w:p>
      <w:pPr>
        <w:pStyle w:val="22"/>
        <w:numPr>
          <w:ilvl w:val="0"/>
          <w:numId w:val="4"/>
        </w:numPr>
        <w:spacing w:line="360" w:lineRule="auto"/>
        <w:ind w:firstLineChars="0"/>
      </w:pPr>
      <w:r>
        <w:rPr>
          <w:rFonts w:hint="eastAsia"/>
        </w:rPr>
        <w:t>培训班类型：点击下拉显示所有培训班类型，选择后可查询该类型的培训班</w:t>
      </w:r>
    </w:p>
    <w:p>
      <w:pPr>
        <w:pStyle w:val="22"/>
        <w:numPr>
          <w:ilvl w:val="0"/>
          <w:numId w:val="4"/>
        </w:numPr>
        <w:spacing w:line="360" w:lineRule="auto"/>
        <w:ind w:firstLineChars="0"/>
      </w:pPr>
      <w:r>
        <w:rPr>
          <w:rFonts w:hint="eastAsia"/>
        </w:rPr>
        <w:t>培训班名称：手动输入，支持模糊查询</w:t>
      </w:r>
    </w:p>
    <w:p>
      <w:pPr>
        <w:pStyle w:val="22"/>
        <w:numPr>
          <w:ilvl w:val="0"/>
          <w:numId w:val="4"/>
        </w:numPr>
        <w:spacing w:line="360" w:lineRule="auto"/>
        <w:ind w:firstLineChars="0"/>
      </w:pPr>
      <w:r>
        <w:rPr>
          <w:rFonts w:hint="eastAsia"/>
        </w:rPr>
        <w:t>状态：显示“待选班、已选班”两个状态勾选框，支持单选、复选、取消勾选</w:t>
      </w:r>
    </w:p>
    <w:p>
      <w:pPr>
        <w:spacing w:line="360" w:lineRule="auto"/>
      </w:pPr>
      <w:r>
        <w:rPr>
          <w:rFonts w:hint="eastAsia"/>
        </w:rPr>
        <w:t>3、查询结果说明</w:t>
      </w:r>
    </w:p>
    <w:p>
      <w:pPr>
        <w:pStyle w:val="22"/>
        <w:numPr>
          <w:ilvl w:val="0"/>
          <w:numId w:val="5"/>
        </w:numPr>
        <w:spacing w:line="360" w:lineRule="auto"/>
        <w:ind w:firstLineChars="0"/>
      </w:pPr>
      <w:r>
        <w:rPr>
          <w:rFonts w:hint="eastAsia"/>
        </w:rPr>
        <w:t>显示列表包含：培训班类型、培训班名名称、培训期数、分班人数、选班人次数、状态、操作</w:t>
      </w:r>
    </w:p>
    <w:p>
      <w:pPr>
        <w:pStyle w:val="22"/>
        <w:numPr>
          <w:ilvl w:val="0"/>
          <w:numId w:val="5"/>
        </w:numPr>
        <w:spacing w:line="360" w:lineRule="auto"/>
        <w:ind w:firstLineChars="0"/>
      </w:pPr>
      <w:r>
        <w:rPr>
          <w:rFonts w:hint="eastAsia"/>
        </w:rPr>
        <w:t>查询显示本单位预报名有审核通过人员、且已完成分期排课的培训计划所有班次记录</w:t>
      </w:r>
    </w:p>
    <w:p>
      <w:pPr>
        <w:pStyle w:val="22"/>
        <w:numPr>
          <w:ilvl w:val="0"/>
          <w:numId w:val="5"/>
        </w:numPr>
        <w:spacing w:line="360" w:lineRule="auto"/>
        <w:ind w:firstLineChars="0"/>
      </w:pPr>
      <w:r>
        <w:rPr>
          <w:rFonts w:hint="eastAsia"/>
        </w:rPr>
        <w:t>查询结果根据培训班类型、培训班名称分类顺序显示</w:t>
      </w:r>
    </w:p>
    <w:p>
      <w:pPr>
        <w:pStyle w:val="22"/>
        <w:numPr>
          <w:ilvl w:val="0"/>
          <w:numId w:val="5"/>
        </w:numPr>
        <w:spacing w:line="360" w:lineRule="auto"/>
        <w:ind w:firstLineChars="0"/>
      </w:pPr>
      <w:r>
        <w:rPr>
          <w:rFonts w:hint="eastAsia"/>
        </w:rPr>
        <w:t>“选班人次数”表示该培训计划本单位所有班次的已选班总人数</w:t>
      </w:r>
    </w:p>
    <w:p>
      <w:pPr>
        <w:pStyle w:val="22"/>
        <w:numPr>
          <w:ilvl w:val="0"/>
          <w:numId w:val="5"/>
        </w:numPr>
        <w:spacing w:line="360" w:lineRule="auto"/>
        <w:ind w:firstLineChars="0"/>
      </w:pPr>
      <w:r>
        <w:rPr>
          <w:rFonts w:hint="eastAsia"/>
        </w:rPr>
        <w:t>未提交选班信息的培训班操作列显示为“选班”</w:t>
      </w:r>
    </w:p>
    <w:p>
      <w:pPr>
        <w:pStyle w:val="22"/>
        <w:numPr>
          <w:ilvl w:val="0"/>
          <w:numId w:val="5"/>
        </w:numPr>
        <w:spacing w:line="360" w:lineRule="auto"/>
        <w:ind w:firstLineChars="0"/>
      </w:pPr>
      <w:r>
        <w:rPr>
          <w:rFonts w:hint="eastAsia"/>
        </w:rPr>
        <w:t>已提交选班信息的培训班操作列显示为“查看”</w:t>
      </w:r>
    </w:p>
    <w:p>
      <w:pPr>
        <w:pStyle w:val="22"/>
        <w:numPr>
          <w:ilvl w:val="0"/>
          <w:numId w:val="5"/>
        </w:numPr>
        <w:spacing w:line="360" w:lineRule="auto"/>
        <w:ind w:firstLineChars="0"/>
      </w:pPr>
      <w:r>
        <w:rPr>
          <w:rFonts w:hint="eastAsia"/>
        </w:rPr>
        <w:t>若该培训计划的所有班次的专业类别不在本单位预报名通过人员的报名专业类别之内，则点击【选班】会提示“您选择的专业类别未开班！”</w:t>
      </w:r>
    </w:p>
    <w:p>
      <w:pPr>
        <w:pStyle w:val="3"/>
        <w:spacing w:before="156" w:after="156"/>
      </w:pPr>
      <w:bookmarkStart w:id="60" w:name="_Toc519752821"/>
      <w:r>
        <w:rPr>
          <w:rFonts w:hint="eastAsia"/>
        </w:rPr>
        <w:t>5.4 选班详情</w:t>
      </w:r>
      <w:bookmarkEnd w:id="60"/>
    </w:p>
    <w:p>
      <w:pPr>
        <w:spacing w:line="360" w:lineRule="auto"/>
      </w:pPr>
      <w:r>
        <w:rPr>
          <w:rFonts w:hint="eastAsia"/>
        </w:rPr>
        <w:t>1、</w:t>
      </w:r>
      <w:r>
        <w:rPr>
          <w:rFonts w:hint="eastAsia"/>
        </w:rPr>
        <w:tab/>
      </w:r>
      <w:r>
        <w:rPr>
          <w:rFonts w:hint="eastAsia"/>
        </w:rPr>
        <w:t>点击主页面操作列[选班]进入该培训计划的集体选班页面，显示如下图：</w:t>
      </w:r>
    </w:p>
    <w:p>
      <w:pPr>
        <w:spacing w:line="360" w:lineRule="auto"/>
      </w:pPr>
      <w:r>
        <w:drawing>
          <wp:inline distT="0" distB="0" distL="0" distR="0">
            <wp:extent cx="5274310" cy="3510915"/>
            <wp:effectExtent l="19050" t="19050" r="21590" b="133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3"/>
                    <a:stretch>
                      <a:fillRect/>
                    </a:stretch>
                  </pic:blipFill>
                  <pic:spPr>
                    <a:xfrm>
                      <a:off x="0" y="0"/>
                      <a:ext cx="5274310" cy="3511323"/>
                    </a:xfrm>
                    <a:prstGeom prst="rect">
                      <a:avLst/>
                    </a:prstGeom>
                    <a:ln w="6350">
                      <a:solidFill>
                        <a:schemeClr val="tx1"/>
                      </a:solidFill>
                    </a:ln>
                  </pic:spPr>
                </pic:pic>
              </a:graphicData>
            </a:graphic>
          </wp:inline>
        </w:drawing>
      </w:r>
    </w:p>
    <w:p>
      <w:pPr>
        <w:pStyle w:val="22"/>
        <w:numPr>
          <w:ilvl w:val="1"/>
          <w:numId w:val="7"/>
        </w:numPr>
        <w:spacing w:line="360" w:lineRule="auto"/>
        <w:ind w:firstLineChars="0"/>
      </w:pPr>
      <w:r>
        <w:rPr>
          <w:rFonts w:hint="eastAsia"/>
        </w:rPr>
        <w:t>培训信息区域显示该培训班发布的信息，只读，不允许修改</w:t>
      </w:r>
    </w:p>
    <w:p>
      <w:pPr>
        <w:pStyle w:val="22"/>
        <w:numPr>
          <w:ilvl w:val="1"/>
          <w:numId w:val="7"/>
        </w:numPr>
        <w:spacing w:line="360" w:lineRule="auto"/>
        <w:ind w:firstLineChars="0"/>
      </w:pPr>
      <w:r>
        <w:rPr>
          <w:rFonts w:hint="eastAsia"/>
        </w:rPr>
        <w:t>选班信息：显示该培训班次本单位预报名审核通过的总人数和待选班人数（还未选择班次的人数），点击【查看】可以查看还未选班的资质人员信息，如下图所示：</w:t>
      </w:r>
    </w:p>
    <w:p>
      <w:pPr>
        <w:spacing w:line="360" w:lineRule="auto"/>
      </w:pPr>
      <w:r>
        <w:drawing>
          <wp:inline distT="0" distB="0" distL="0" distR="0">
            <wp:extent cx="5274310" cy="828675"/>
            <wp:effectExtent l="19050" t="19050" r="21590" b="2857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4"/>
                    <a:stretch>
                      <a:fillRect/>
                    </a:stretch>
                  </pic:blipFill>
                  <pic:spPr>
                    <a:xfrm>
                      <a:off x="0" y="0"/>
                      <a:ext cx="5274310" cy="828995"/>
                    </a:xfrm>
                    <a:prstGeom prst="rect">
                      <a:avLst/>
                    </a:prstGeom>
                    <a:ln w="6350">
                      <a:solidFill>
                        <a:schemeClr val="tx1"/>
                      </a:solidFill>
                    </a:ln>
                  </pic:spPr>
                </pic:pic>
              </a:graphicData>
            </a:graphic>
          </wp:inline>
        </w:drawing>
      </w:r>
    </w:p>
    <w:p>
      <w:pPr>
        <w:spacing w:line="360" w:lineRule="auto"/>
      </w:pPr>
      <w:r>
        <w:rPr>
          <w:rFonts w:hint="eastAsia"/>
        </w:rPr>
        <w:tab/>
      </w:r>
      <w:r>
        <w:rPr>
          <w:rFonts w:hint="eastAsia"/>
        </w:rPr>
        <w:t>说明：无专业类别区分的培训班查看待选班人员时不显示“专业类别”一列</w:t>
      </w:r>
    </w:p>
    <w:p>
      <w:pPr>
        <w:pStyle w:val="22"/>
        <w:numPr>
          <w:ilvl w:val="1"/>
          <w:numId w:val="7"/>
        </w:numPr>
        <w:spacing w:line="360" w:lineRule="auto"/>
        <w:ind w:firstLineChars="0"/>
      </w:pPr>
      <w:r>
        <w:rPr>
          <w:rFonts w:hint="eastAsia"/>
        </w:rPr>
        <w:t>点击培训期数操作列的【选班】按钮，弹出报名该专业类别的人员，如下图所示：</w:t>
      </w:r>
    </w:p>
    <w:p>
      <w:pPr>
        <w:spacing w:line="360" w:lineRule="auto"/>
      </w:pPr>
      <w:r>
        <w:drawing>
          <wp:inline distT="0" distB="0" distL="0" distR="0">
            <wp:extent cx="5274310" cy="1967230"/>
            <wp:effectExtent l="19050" t="19050" r="21590" b="1397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35"/>
                    <a:stretch>
                      <a:fillRect/>
                    </a:stretch>
                  </pic:blipFill>
                  <pic:spPr>
                    <a:xfrm>
                      <a:off x="0" y="0"/>
                      <a:ext cx="5274310" cy="1967489"/>
                    </a:xfrm>
                    <a:prstGeom prst="rect">
                      <a:avLst/>
                    </a:prstGeom>
                    <a:ln w="6350">
                      <a:solidFill>
                        <a:schemeClr val="tx1"/>
                      </a:solidFill>
                    </a:ln>
                  </pic:spPr>
                </pic:pic>
              </a:graphicData>
            </a:graphic>
          </wp:inline>
        </w:drawing>
      </w:r>
    </w:p>
    <w:p>
      <w:pPr>
        <w:pStyle w:val="22"/>
        <w:numPr>
          <w:ilvl w:val="0"/>
          <w:numId w:val="8"/>
        </w:numPr>
        <w:spacing w:line="360" w:lineRule="auto"/>
        <w:ind w:firstLineChars="0"/>
      </w:pPr>
      <w:r>
        <w:rPr>
          <w:rFonts w:hint="eastAsia"/>
        </w:rPr>
        <w:t>可以根据人员姓名进行模糊查询</w:t>
      </w:r>
    </w:p>
    <w:p>
      <w:pPr>
        <w:pStyle w:val="22"/>
        <w:numPr>
          <w:ilvl w:val="0"/>
          <w:numId w:val="8"/>
        </w:numPr>
        <w:spacing w:line="360" w:lineRule="auto"/>
        <w:ind w:firstLineChars="0"/>
      </w:pPr>
      <w:r>
        <w:rPr>
          <w:rFonts w:hint="eastAsia"/>
        </w:rPr>
        <w:t>可以单选、全选人员，点击【确定】选中人员选择该培训班次</w:t>
      </w:r>
    </w:p>
    <w:p>
      <w:pPr>
        <w:pStyle w:val="22"/>
        <w:numPr>
          <w:ilvl w:val="0"/>
          <w:numId w:val="8"/>
        </w:numPr>
        <w:spacing w:line="360" w:lineRule="auto"/>
        <w:ind w:firstLineChars="0"/>
      </w:pPr>
      <w:r>
        <w:rPr>
          <w:rFonts w:hint="eastAsia"/>
        </w:rPr>
        <w:t>取消勾选后点击【确定】表示该人员取消选择该班次</w:t>
      </w:r>
    </w:p>
    <w:p>
      <w:pPr>
        <w:pStyle w:val="22"/>
        <w:numPr>
          <w:ilvl w:val="0"/>
          <w:numId w:val="8"/>
        </w:numPr>
        <w:spacing w:line="360" w:lineRule="auto"/>
        <w:ind w:firstLineChars="0"/>
      </w:pPr>
      <w:r>
        <w:rPr>
          <w:rFonts w:hint="eastAsia"/>
        </w:rPr>
        <w:t>当已选班人员选择的班次专业类别或培训时间有冲突，则不会出现在其他班次待选人员内</w:t>
      </w:r>
    </w:p>
    <w:p>
      <w:pPr>
        <w:pStyle w:val="22"/>
        <w:spacing w:line="360" w:lineRule="auto"/>
        <w:ind w:left="645" w:firstLine="0" w:firstLineChars="0"/>
      </w:pPr>
      <w:r>
        <w:rPr>
          <w:rFonts w:hint="eastAsia"/>
        </w:rPr>
        <w:t>1.4 完成该培训计划所有班次的选班后，点击【提交】按钮完成集体选班</w:t>
      </w:r>
    </w:p>
    <w:p>
      <w:pPr>
        <w:pStyle w:val="22"/>
        <w:numPr>
          <w:ilvl w:val="0"/>
          <w:numId w:val="9"/>
        </w:numPr>
        <w:spacing w:line="360" w:lineRule="auto"/>
        <w:ind w:firstLineChars="0"/>
      </w:pPr>
      <w:r>
        <w:rPr>
          <w:rFonts w:hint="eastAsia"/>
        </w:rPr>
        <w:t>点击主页面操作列[查看]进入该培训计划的选班信息页面，显示如下图：</w:t>
      </w:r>
    </w:p>
    <w:p>
      <w:pPr>
        <w:spacing w:line="360" w:lineRule="auto"/>
      </w:pPr>
      <w:r>
        <w:drawing>
          <wp:inline distT="0" distB="0" distL="0" distR="0">
            <wp:extent cx="5274310" cy="4060825"/>
            <wp:effectExtent l="19050" t="19050" r="21590" b="1587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6"/>
                    <a:stretch>
                      <a:fillRect/>
                    </a:stretch>
                  </pic:blipFill>
                  <pic:spPr>
                    <a:xfrm>
                      <a:off x="0" y="0"/>
                      <a:ext cx="5274310" cy="4061341"/>
                    </a:xfrm>
                    <a:prstGeom prst="rect">
                      <a:avLst/>
                    </a:prstGeom>
                    <a:ln w="6350">
                      <a:solidFill>
                        <a:schemeClr val="tx1"/>
                      </a:solidFill>
                    </a:ln>
                  </pic:spPr>
                </pic:pic>
              </a:graphicData>
            </a:graphic>
          </wp:inline>
        </w:drawing>
      </w:r>
    </w:p>
    <w:p>
      <w:pPr>
        <w:spacing w:line="360" w:lineRule="auto"/>
      </w:pPr>
      <w:r>
        <w:rPr>
          <w:rFonts w:hint="eastAsia"/>
        </w:rPr>
        <w:t>2.1 培训信息区域显示该培训班发布的信息，只读，不允许修改</w:t>
      </w:r>
    </w:p>
    <w:p>
      <w:pPr>
        <w:spacing w:line="360" w:lineRule="auto"/>
      </w:pPr>
      <w:r>
        <w:rPr>
          <w:rFonts w:hint="eastAsia"/>
        </w:rPr>
        <w:t>2.2 选班信息区域显示本单位集体选班信息，只读，不允许修改</w:t>
      </w:r>
    </w:p>
    <w:p>
      <w:pPr>
        <w:spacing w:line="360" w:lineRule="auto"/>
      </w:pPr>
      <w:r>
        <w:rPr>
          <w:rFonts w:hint="eastAsia"/>
        </w:rPr>
        <w:t>2.3 点击期数操作列【查看】按钮可查看该班次本单位选班人员信息，如下图所示：</w:t>
      </w:r>
    </w:p>
    <w:p>
      <w:pPr>
        <w:spacing w:line="360" w:lineRule="auto"/>
      </w:pPr>
      <w:r>
        <w:drawing>
          <wp:inline distT="0" distB="0" distL="0" distR="0">
            <wp:extent cx="5274310" cy="1156970"/>
            <wp:effectExtent l="19050" t="19050" r="21590" b="2413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37"/>
                    <a:stretch>
                      <a:fillRect/>
                    </a:stretch>
                  </pic:blipFill>
                  <pic:spPr>
                    <a:xfrm>
                      <a:off x="0" y="0"/>
                      <a:ext cx="5274310" cy="1157418"/>
                    </a:xfrm>
                    <a:prstGeom prst="rect">
                      <a:avLst/>
                    </a:prstGeom>
                    <a:ln w="6350">
                      <a:solidFill>
                        <a:schemeClr val="tx1"/>
                      </a:solidFill>
                    </a:ln>
                  </pic:spPr>
                </pic:pic>
              </a:graphicData>
            </a:graphic>
          </wp:inline>
        </w:drawing>
      </w:r>
    </w:p>
    <w:p/>
    <w:p>
      <w:pPr>
        <w:pStyle w:val="2"/>
        <w:spacing w:before="156" w:after="156"/>
        <w:rPr>
          <w:rFonts w:ascii="宋体" w:hAnsi="宋体"/>
        </w:rPr>
      </w:pPr>
      <w:bookmarkStart w:id="61" w:name="_Toc519752822"/>
      <w:r>
        <w:rPr>
          <w:rFonts w:hint="eastAsia" w:ascii="宋体" w:hAnsi="宋体"/>
        </w:rPr>
        <w:t>第六章 集体成绩查询</w:t>
      </w:r>
      <w:bookmarkEnd w:id="61"/>
    </w:p>
    <w:p>
      <w:pPr>
        <w:pStyle w:val="3"/>
        <w:spacing w:before="156" w:after="156"/>
      </w:pPr>
      <w:bookmarkStart w:id="62" w:name="_Toc519752823"/>
      <w:r>
        <w:rPr>
          <w:rFonts w:hint="eastAsia"/>
        </w:rPr>
        <w:t>6.1功能说明</w:t>
      </w:r>
      <w:bookmarkEnd w:id="62"/>
    </w:p>
    <w:p>
      <w:r>
        <w:rPr>
          <w:rFonts w:hint="eastAsia"/>
          <w:szCs w:val="21"/>
        </w:rPr>
        <w:t>功能说明：</w:t>
      </w:r>
      <w:r>
        <w:rPr>
          <w:rFonts w:hint="eastAsia"/>
        </w:rPr>
        <w:t>用于单位查询集体方式报名的考试成绩情况，并支持相关证书的下载。</w:t>
      </w:r>
    </w:p>
    <w:p>
      <w:pPr>
        <w:pStyle w:val="3"/>
        <w:spacing w:before="156" w:after="156"/>
      </w:pPr>
      <w:bookmarkStart w:id="63" w:name="_Toc519752824"/>
      <w:r>
        <w:rPr>
          <w:rFonts w:hint="eastAsia"/>
        </w:rPr>
        <w:t>6.2 菜单</w:t>
      </w:r>
      <w:bookmarkEnd w:id="63"/>
    </w:p>
    <w:p>
      <w:pPr>
        <w:spacing w:line="360" w:lineRule="auto"/>
      </w:pPr>
      <w:r>
        <w:rPr>
          <w:rFonts w:hint="eastAsia"/>
        </w:rPr>
        <w:t>单位帐户登录系统后点击[技术人员培训管理]——[集体成绩查询]进入操作界面。</w:t>
      </w:r>
    </w:p>
    <w:p>
      <w:pPr>
        <w:spacing w:line="360" w:lineRule="auto"/>
      </w:pPr>
      <w:r>
        <w:drawing>
          <wp:inline distT="0" distB="0" distL="114300" distR="114300">
            <wp:extent cx="5274310" cy="3122295"/>
            <wp:effectExtent l="9525" t="9525" r="12065" b="11430"/>
            <wp:docPr id="3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1"/>
                    <pic:cNvPicPr>
                      <a:picLocks noChangeAspect="1"/>
                    </pic:cNvPicPr>
                  </pic:nvPicPr>
                  <pic:blipFill>
                    <a:blip r:embed="rId38"/>
                    <a:stretch>
                      <a:fillRect/>
                    </a:stretch>
                  </pic:blipFill>
                  <pic:spPr>
                    <a:xfrm>
                      <a:off x="0" y="0"/>
                      <a:ext cx="5274310" cy="3122295"/>
                    </a:xfrm>
                    <a:prstGeom prst="rect">
                      <a:avLst/>
                    </a:prstGeom>
                    <a:noFill/>
                    <a:ln w="6350">
                      <a:solidFill>
                        <a:schemeClr val="accent1"/>
                      </a:solidFill>
                    </a:ln>
                  </pic:spPr>
                </pic:pic>
              </a:graphicData>
            </a:graphic>
          </wp:inline>
        </w:drawing>
      </w:r>
    </w:p>
    <w:p>
      <w:pPr>
        <w:spacing w:line="360" w:lineRule="auto"/>
        <w:jc w:val="center"/>
      </w:pPr>
      <w:r>
        <w:rPr>
          <w:rFonts w:hint="eastAsia"/>
        </w:rPr>
        <w:t>（&lt;集体成绩查询单）</w:t>
      </w:r>
    </w:p>
    <w:p>
      <w:pPr>
        <w:pStyle w:val="3"/>
        <w:spacing w:before="156" w:after="156"/>
      </w:pPr>
      <w:bookmarkStart w:id="64" w:name="_Toc519752825"/>
      <w:r>
        <w:rPr>
          <w:rFonts w:hint="eastAsia"/>
        </w:rPr>
        <w:t>6.3主页面</w:t>
      </w:r>
      <w:bookmarkEnd w:id="64"/>
    </w:p>
    <w:p>
      <w:pPr>
        <w:spacing w:line="360" w:lineRule="auto"/>
      </w:pPr>
      <w:r>
        <w:rPr>
          <w:rFonts w:hint="eastAsia"/>
        </w:rPr>
        <w:t>1、[集体成绩查询]主界面显示如下图：</w:t>
      </w:r>
    </w:p>
    <w:p>
      <w:pPr>
        <w:spacing w:line="360" w:lineRule="auto"/>
      </w:pPr>
      <w:r>
        <w:drawing>
          <wp:inline distT="0" distB="0" distL="114300" distR="114300">
            <wp:extent cx="5269865" cy="1583690"/>
            <wp:effectExtent l="9525" t="9525" r="16510" b="26035"/>
            <wp:docPr id="3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2"/>
                    <pic:cNvPicPr>
                      <a:picLocks noChangeAspect="1"/>
                    </pic:cNvPicPr>
                  </pic:nvPicPr>
                  <pic:blipFill>
                    <a:blip r:embed="rId39"/>
                    <a:stretch>
                      <a:fillRect/>
                    </a:stretch>
                  </pic:blipFill>
                  <pic:spPr>
                    <a:xfrm>
                      <a:off x="0" y="0"/>
                      <a:ext cx="5269865" cy="1583690"/>
                    </a:xfrm>
                    <a:prstGeom prst="rect">
                      <a:avLst/>
                    </a:prstGeom>
                    <a:noFill/>
                    <a:ln w="6350">
                      <a:solidFill>
                        <a:schemeClr val="accent1"/>
                      </a:solidFill>
                    </a:ln>
                  </pic:spPr>
                </pic:pic>
              </a:graphicData>
            </a:graphic>
          </wp:inline>
        </w:drawing>
      </w:r>
    </w:p>
    <w:p>
      <w:pPr>
        <w:spacing w:line="360" w:lineRule="auto"/>
      </w:pPr>
      <w:r>
        <w:rPr>
          <w:rFonts w:hint="eastAsia"/>
        </w:rPr>
        <w:t>2、查询条件说明</w:t>
      </w:r>
    </w:p>
    <w:p>
      <w:pPr>
        <w:pStyle w:val="22"/>
        <w:numPr>
          <w:ilvl w:val="0"/>
          <w:numId w:val="4"/>
        </w:numPr>
        <w:spacing w:line="360" w:lineRule="auto"/>
        <w:ind w:firstLineChars="0"/>
      </w:pPr>
      <w:r>
        <w:rPr>
          <w:rFonts w:hint="eastAsia"/>
        </w:rPr>
        <w:t>培训班类型：点击下拉显示所有培训班类型，选择后可查询该类型的培训班</w:t>
      </w:r>
    </w:p>
    <w:p>
      <w:pPr>
        <w:pStyle w:val="22"/>
        <w:numPr>
          <w:ilvl w:val="0"/>
          <w:numId w:val="4"/>
        </w:numPr>
        <w:spacing w:line="360" w:lineRule="auto"/>
        <w:ind w:firstLineChars="0"/>
      </w:pPr>
      <w:r>
        <w:rPr>
          <w:rFonts w:hint="eastAsia"/>
        </w:rPr>
        <w:t>培训班名称：手动输入，支持模糊查询</w:t>
      </w:r>
    </w:p>
    <w:p>
      <w:pPr>
        <w:pStyle w:val="22"/>
        <w:numPr>
          <w:ilvl w:val="0"/>
          <w:numId w:val="4"/>
        </w:numPr>
        <w:spacing w:line="360" w:lineRule="auto"/>
        <w:ind w:firstLineChars="0"/>
      </w:pPr>
      <w:r>
        <w:rPr>
          <w:rFonts w:hint="eastAsia"/>
        </w:rPr>
        <w:t>培训开始日期：默认显示本年度1月1日至当前日期，查询培训开始日期在此区间的培训班记录</w:t>
      </w:r>
    </w:p>
    <w:p>
      <w:pPr>
        <w:spacing w:line="360" w:lineRule="auto"/>
      </w:pPr>
      <w:r>
        <w:rPr>
          <w:rFonts w:hint="eastAsia"/>
        </w:rPr>
        <w:t>3、查询结果说明</w:t>
      </w:r>
    </w:p>
    <w:p>
      <w:pPr>
        <w:pStyle w:val="22"/>
        <w:numPr>
          <w:ilvl w:val="0"/>
          <w:numId w:val="5"/>
        </w:numPr>
        <w:spacing w:line="360" w:lineRule="auto"/>
        <w:ind w:firstLineChars="0"/>
      </w:pPr>
      <w:r>
        <w:rPr>
          <w:rFonts w:hint="eastAsia"/>
        </w:rPr>
        <w:t>显示列表包含：培训班类型、培训班名称、专业类别、培训期数、培训开始日期、培训结束日期、操作</w:t>
      </w:r>
    </w:p>
    <w:p>
      <w:pPr>
        <w:pStyle w:val="22"/>
        <w:numPr>
          <w:ilvl w:val="0"/>
          <w:numId w:val="5"/>
        </w:numPr>
        <w:spacing w:line="360" w:lineRule="auto"/>
        <w:ind w:firstLineChars="0"/>
      </w:pPr>
      <w:r>
        <w:rPr>
          <w:rFonts w:hint="eastAsia"/>
        </w:rPr>
        <w:t>查询结果按照培训班类型、培训班名称分类排序显示记录</w:t>
      </w:r>
    </w:p>
    <w:p>
      <w:pPr>
        <w:pStyle w:val="22"/>
        <w:numPr>
          <w:ilvl w:val="0"/>
          <w:numId w:val="5"/>
        </w:numPr>
        <w:spacing w:line="360" w:lineRule="auto"/>
        <w:ind w:firstLineChars="0"/>
      </w:pPr>
      <w:r>
        <w:rPr>
          <w:rFonts w:hint="eastAsia"/>
        </w:rPr>
        <w:t>“专业类别”内显示该培训班次的专业类别名称，多个专业以逗号隔开；无专业类别的培训班类型“专业类别”内显示“——”</w:t>
      </w:r>
    </w:p>
    <w:p>
      <w:pPr>
        <w:pStyle w:val="22"/>
        <w:numPr>
          <w:ilvl w:val="0"/>
          <w:numId w:val="5"/>
        </w:numPr>
        <w:spacing w:line="360" w:lineRule="auto"/>
        <w:ind w:firstLineChars="0"/>
      </w:pPr>
      <w:r>
        <w:rPr>
          <w:rFonts w:hint="eastAsia"/>
        </w:rPr>
        <w:t>当本单位选择该培训班次的人员成绩录入完成即可查询到考试成绩，操作列显示【查看】按钮</w:t>
      </w:r>
    </w:p>
    <w:p>
      <w:pPr>
        <w:pStyle w:val="3"/>
        <w:spacing w:before="156" w:after="156"/>
      </w:pPr>
      <w:bookmarkStart w:id="65" w:name="_Toc519752826"/>
      <w:r>
        <w:rPr>
          <w:rFonts w:hint="eastAsia"/>
        </w:rPr>
        <w:t>6.4 成绩查看</w:t>
      </w:r>
      <w:bookmarkEnd w:id="65"/>
    </w:p>
    <w:p>
      <w:pPr>
        <w:spacing w:line="360" w:lineRule="auto"/>
      </w:pPr>
      <w:r>
        <w:rPr>
          <w:rFonts w:hint="eastAsia"/>
        </w:rPr>
        <w:t>点击主页面操作列[查看]进入集体成绩信息页面，显示如下图：</w:t>
      </w:r>
    </w:p>
    <w:p>
      <w:pPr>
        <w:spacing w:line="360" w:lineRule="auto"/>
      </w:pPr>
      <w:r>
        <w:drawing>
          <wp:inline distT="0" distB="0" distL="0" distR="0">
            <wp:extent cx="5274310" cy="1800225"/>
            <wp:effectExtent l="19050" t="19050" r="21590" b="2857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40"/>
                    <a:stretch>
                      <a:fillRect/>
                    </a:stretch>
                  </pic:blipFill>
                  <pic:spPr>
                    <a:xfrm>
                      <a:off x="0" y="0"/>
                      <a:ext cx="5274310" cy="1800225"/>
                    </a:xfrm>
                    <a:prstGeom prst="rect">
                      <a:avLst/>
                    </a:prstGeom>
                    <a:ln w="6350">
                      <a:solidFill>
                        <a:schemeClr val="tx1"/>
                      </a:solidFill>
                    </a:ln>
                  </pic:spPr>
                </pic:pic>
              </a:graphicData>
            </a:graphic>
          </wp:inline>
        </w:drawing>
      </w:r>
    </w:p>
    <w:p>
      <w:pPr>
        <w:pStyle w:val="22"/>
        <w:numPr>
          <w:ilvl w:val="0"/>
          <w:numId w:val="10"/>
        </w:numPr>
        <w:spacing w:line="360" w:lineRule="auto"/>
        <w:ind w:firstLineChars="0"/>
      </w:pPr>
      <w:r>
        <w:rPr>
          <w:rFonts w:hint="eastAsia"/>
        </w:rPr>
        <w:t>课程信息区域显示该培训班次的信息，只读，不允许修改</w:t>
      </w:r>
    </w:p>
    <w:p>
      <w:pPr>
        <w:pStyle w:val="22"/>
        <w:numPr>
          <w:ilvl w:val="0"/>
          <w:numId w:val="10"/>
        </w:numPr>
        <w:spacing w:line="360" w:lineRule="auto"/>
        <w:ind w:firstLineChars="0"/>
      </w:pPr>
      <w:r>
        <w:rPr>
          <w:rFonts w:hint="eastAsia"/>
        </w:rPr>
        <w:t>成绩信息：显示该培训班次本单位成绩录入完成人员的考试情况，根据专业类别分为多条成绩记录，显示每个专业的分数以及是否合格</w:t>
      </w:r>
    </w:p>
    <w:p>
      <w:pPr>
        <w:pStyle w:val="22"/>
        <w:numPr>
          <w:ilvl w:val="0"/>
          <w:numId w:val="10"/>
        </w:numPr>
        <w:spacing w:line="360" w:lineRule="auto"/>
        <w:ind w:firstLineChars="0"/>
      </w:pPr>
      <w:r>
        <w:rPr>
          <w:rFonts w:hint="eastAsia"/>
        </w:rPr>
        <w:t>只要该培训班次有一个专业合格就会有证书信息，显示证书编号，并且操作列可以下载证书附件</w:t>
      </w:r>
    </w:p>
    <w:p>
      <w:pPr>
        <w:pStyle w:val="22"/>
        <w:numPr>
          <w:ilvl w:val="0"/>
          <w:numId w:val="10"/>
        </w:numPr>
        <w:spacing w:line="360" w:lineRule="auto"/>
        <w:ind w:firstLineChars="0"/>
      </w:pPr>
      <w:r>
        <w:rPr>
          <w:rFonts w:hint="eastAsia"/>
        </w:rPr>
        <w:t>一个培训班次同一人员只有一个合格证，多个专业合格则证书编号和附件为同一个</w:t>
      </w: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4" w:lineRule="exact"/>
      <w:rPr>
        <w:sz w:val="18"/>
        <w:szCs w:val="18"/>
      </w:rPr>
    </w:pPr>
    <w:r>
      <w:rPr>
        <w:rFonts w:eastAsia="Times New Roman"/>
        <w:sz w:val="18"/>
        <w:szCs w:val="18"/>
      </w:rPr>
      <w:t>Co</w:t>
    </w:r>
    <w:r>
      <w:rPr>
        <w:rFonts w:eastAsia="Times New Roman"/>
        <w:spacing w:val="1"/>
        <w:sz w:val="18"/>
        <w:szCs w:val="18"/>
      </w:rPr>
      <w:t>p</w:t>
    </w:r>
    <w:r>
      <w:rPr>
        <w:rFonts w:eastAsia="Times New Roman"/>
        <w:spacing w:val="-4"/>
        <w:sz w:val="18"/>
        <w:szCs w:val="18"/>
      </w:rPr>
      <w:t>y</w:t>
    </w:r>
    <w:r>
      <w:rPr>
        <w:rFonts w:eastAsia="Times New Roman"/>
        <w:sz w:val="18"/>
        <w:szCs w:val="18"/>
      </w:rPr>
      <w:t>ri</w:t>
    </w:r>
    <w:r>
      <w:rPr>
        <w:rFonts w:eastAsia="Times New Roman"/>
        <w:spacing w:val="-1"/>
        <w:sz w:val="18"/>
        <w:szCs w:val="18"/>
      </w:rPr>
      <w:t>g</w:t>
    </w:r>
    <w:r>
      <w:rPr>
        <w:rFonts w:eastAsia="Times New Roman"/>
        <w:spacing w:val="1"/>
        <w:sz w:val="18"/>
        <w:szCs w:val="18"/>
      </w:rPr>
      <w:t>h</w:t>
    </w:r>
    <w:r>
      <w:rPr>
        <w:rFonts w:eastAsia="Times New Roman"/>
        <w:sz w:val="18"/>
        <w:szCs w:val="18"/>
      </w:rPr>
      <w:t xml:space="preserve">t </w:t>
    </w:r>
    <w:r>
      <w:rPr>
        <w:rFonts w:eastAsia="Times New Roman"/>
        <w:spacing w:val="1"/>
        <w:sz w:val="18"/>
        <w:szCs w:val="18"/>
      </w:rPr>
      <w:t>©</w:t>
    </w:r>
    <w:r>
      <w:rPr>
        <w:rFonts w:hint="eastAsia" w:ascii="宋体" w:hAnsi="宋体" w:cs="宋体"/>
        <w:sz w:val="18"/>
        <w:szCs w:val="18"/>
      </w:rPr>
      <w:t>南京</w:t>
    </w:r>
    <w:r>
      <w:rPr>
        <w:rFonts w:ascii="宋体" w:hAnsi="宋体" w:cs="宋体"/>
        <w:sz w:val="18"/>
        <w:szCs w:val="18"/>
      </w:rPr>
      <w:t>中卫信</w:t>
    </w:r>
    <w:r>
      <w:rPr>
        <w:rFonts w:hint="eastAsia" w:ascii="宋体" w:hAnsi="宋体" w:cs="宋体"/>
        <w:sz w:val="18"/>
        <w:szCs w:val="18"/>
      </w:rPr>
      <w:t>软件</w:t>
    </w:r>
    <w:r>
      <w:rPr>
        <w:rFonts w:ascii="宋体" w:hAnsi="宋体" w:cs="宋体"/>
        <w:sz w:val="18"/>
        <w:szCs w:val="18"/>
      </w:rPr>
      <w:t>科技有限公司</w:t>
    </w:r>
    <w:r>
      <w:rPr>
        <w:rFonts w:eastAsia="Times New Roman"/>
        <w:sz w:val="18"/>
        <w:szCs w:val="18"/>
      </w:rPr>
      <w:t>,</w:t>
    </w:r>
    <w:r>
      <w:rPr>
        <w:rFonts w:eastAsia="Times New Roman"/>
        <w:spacing w:val="-3"/>
        <w:sz w:val="18"/>
        <w:szCs w:val="18"/>
      </w:rPr>
      <w:t>A</w:t>
    </w:r>
    <w:r>
      <w:rPr>
        <w:rFonts w:eastAsia="Times New Roman"/>
        <w:sz w:val="18"/>
        <w:szCs w:val="18"/>
      </w:rPr>
      <w:t>ll ri</w:t>
    </w:r>
    <w:r>
      <w:rPr>
        <w:rFonts w:eastAsia="Times New Roman"/>
        <w:spacing w:val="-1"/>
        <w:sz w:val="18"/>
        <w:szCs w:val="18"/>
      </w:rPr>
      <w:t>g</w:t>
    </w:r>
    <w:r>
      <w:rPr>
        <w:rFonts w:eastAsia="Times New Roman"/>
        <w:spacing w:val="1"/>
        <w:sz w:val="18"/>
        <w:szCs w:val="18"/>
      </w:rPr>
      <w:t>h</w:t>
    </w:r>
    <w:r>
      <w:rPr>
        <w:rFonts w:eastAsia="Times New Roman"/>
        <w:sz w:val="18"/>
        <w:szCs w:val="18"/>
      </w:rPr>
      <w:t>t r</w:t>
    </w:r>
    <w:r>
      <w:rPr>
        <w:rFonts w:eastAsia="Times New Roman"/>
        <w:spacing w:val="-1"/>
        <w:sz w:val="18"/>
        <w:szCs w:val="18"/>
      </w:rPr>
      <w:t>e</w:t>
    </w:r>
    <w:r>
      <w:rPr>
        <w:rFonts w:eastAsia="Times New Roman"/>
        <w:sz w:val="18"/>
        <w:szCs w:val="18"/>
      </w:rPr>
      <w:t>s</w:t>
    </w:r>
    <w:r>
      <w:rPr>
        <w:rFonts w:eastAsia="Times New Roman"/>
        <w:spacing w:val="-2"/>
        <w:sz w:val="18"/>
        <w:szCs w:val="18"/>
      </w:rPr>
      <w:t>e</w:t>
    </w:r>
    <w:r>
      <w:rPr>
        <w:rFonts w:eastAsia="Times New Roman"/>
        <w:sz w:val="18"/>
        <w:szCs w:val="18"/>
      </w:rPr>
      <w:t>r</w:t>
    </w:r>
    <w:r>
      <w:rPr>
        <w:rFonts w:eastAsia="Times New Roman"/>
        <w:spacing w:val="-2"/>
        <w:sz w:val="18"/>
        <w:szCs w:val="18"/>
      </w:rPr>
      <w:t>v</w:t>
    </w:r>
    <w:r>
      <w:rPr>
        <w:rFonts w:eastAsia="Times New Roman"/>
        <w:spacing w:val="-1"/>
        <w:sz w:val="18"/>
        <w:szCs w:val="18"/>
      </w:rPr>
      <w:t>e</w:t>
    </w:r>
    <w:r>
      <w:rPr>
        <w:rFonts w:eastAsia="Times New Roman"/>
        <w:spacing w:val="1"/>
        <w:sz w:val="18"/>
        <w:szCs w:val="18"/>
      </w:rPr>
      <w:t>d</w:t>
    </w:r>
    <w:r>
      <w:rPr>
        <w:rFonts w:eastAsia="Times New Roman"/>
        <w:sz w:val="18"/>
        <w:szCs w:val="18"/>
      </w:rPr>
      <w:t>.</w:t>
    </w:r>
    <w:r>
      <w:rPr>
        <w:rFonts w:hint="eastAsia"/>
        <w:sz w:val="18"/>
        <w:szCs w:val="18"/>
      </w:rPr>
      <w:tab/>
    </w:r>
    <w:r>
      <w:rPr>
        <w:rFonts w:hint="eastAsia"/>
        <w:sz w:val="18"/>
        <w:szCs w:val="18"/>
      </w:rPr>
      <w:tab/>
    </w:r>
    <w:r>
      <w:rPr>
        <w:rFonts w:hint="eastAsia"/>
        <w:sz w:val="18"/>
        <w:szCs w:val="18"/>
      </w:rPr>
      <w:tab/>
    </w:r>
    <w:r>
      <w:rPr>
        <w:rFonts w:hint="eastAsia"/>
        <w:sz w:val="18"/>
        <w:szCs w:val="18"/>
      </w:rPr>
      <w:tab/>
    </w:r>
    <w:r>
      <w:rPr>
        <w:rFonts w:hint="eastAsia"/>
        <w:sz w:val="18"/>
        <w:szCs w:val="18"/>
      </w:rPr>
      <w:tab/>
    </w:r>
    <w:r>
      <w:rPr>
        <w:rFonts w:hint="eastAsia"/>
        <w:sz w:val="18"/>
        <w:szCs w:val="18"/>
      </w:rPr>
      <w:tab/>
    </w:r>
    <w:r>
      <w:rPr>
        <w:rFonts w:hint="eastAsia"/>
        <w:sz w:val="18"/>
        <w:szCs w:val="18"/>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4" w:lineRule="exact"/>
      <w:rPr>
        <w:sz w:val="18"/>
        <w:szCs w:val="18"/>
      </w:rPr>
    </w:pPr>
    <w:r>
      <w:rPr>
        <w:rFonts w:eastAsia="Times New Roman"/>
        <w:sz w:val="18"/>
        <w:szCs w:val="18"/>
      </w:rPr>
      <w:t>Co</w:t>
    </w:r>
    <w:r>
      <w:rPr>
        <w:rFonts w:eastAsia="Times New Roman"/>
        <w:spacing w:val="1"/>
        <w:sz w:val="18"/>
        <w:szCs w:val="18"/>
      </w:rPr>
      <w:t>p</w:t>
    </w:r>
    <w:r>
      <w:rPr>
        <w:rFonts w:eastAsia="Times New Roman"/>
        <w:spacing w:val="-4"/>
        <w:sz w:val="18"/>
        <w:szCs w:val="18"/>
      </w:rPr>
      <w:t>y</w:t>
    </w:r>
    <w:r>
      <w:rPr>
        <w:rFonts w:eastAsia="Times New Roman"/>
        <w:sz w:val="18"/>
        <w:szCs w:val="18"/>
      </w:rPr>
      <w:t>ri</w:t>
    </w:r>
    <w:r>
      <w:rPr>
        <w:rFonts w:eastAsia="Times New Roman"/>
        <w:spacing w:val="-1"/>
        <w:sz w:val="18"/>
        <w:szCs w:val="18"/>
      </w:rPr>
      <w:t>g</w:t>
    </w:r>
    <w:r>
      <w:rPr>
        <w:rFonts w:eastAsia="Times New Roman"/>
        <w:spacing w:val="1"/>
        <w:sz w:val="18"/>
        <w:szCs w:val="18"/>
      </w:rPr>
      <w:t>h</w:t>
    </w:r>
    <w:r>
      <w:rPr>
        <w:rFonts w:eastAsia="Times New Roman"/>
        <w:sz w:val="18"/>
        <w:szCs w:val="18"/>
      </w:rPr>
      <w:t xml:space="preserve">t </w:t>
    </w:r>
    <w:r>
      <w:rPr>
        <w:rFonts w:eastAsia="Times New Roman"/>
        <w:spacing w:val="1"/>
        <w:sz w:val="18"/>
        <w:szCs w:val="18"/>
      </w:rPr>
      <w:t>©</w:t>
    </w:r>
    <w:r>
      <w:rPr>
        <w:rFonts w:hint="eastAsia" w:ascii="宋体" w:hAnsi="宋体" w:cs="宋体"/>
        <w:sz w:val="18"/>
        <w:szCs w:val="18"/>
      </w:rPr>
      <w:t>南京</w:t>
    </w:r>
    <w:r>
      <w:rPr>
        <w:rFonts w:ascii="宋体" w:hAnsi="宋体" w:cs="宋体"/>
        <w:sz w:val="18"/>
        <w:szCs w:val="18"/>
      </w:rPr>
      <w:t>中卫信</w:t>
    </w:r>
    <w:r>
      <w:rPr>
        <w:rFonts w:hint="eastAsia" w:ascii="宋体" w:hAnsi="宋体" w:cs="宋体"/>
        <w:sz w:val="18"/>
        <w:szCs w:val="18"/>
      </w:rPr>
      <w:t>软件</w:t>
    </w:r>
    <w:r>
      <w:rPr>
        <w:rFonts w:ascii="宋体" w:hAnsi="宋体" w:cs="宋体"/>
        <w:sz w:val="18"/>
        <w:szCs w:val="18"/>
      </w:rPr>
      <w:t>科技有限公司</w:t>
    </w:r>
    <w:r>
      <w:rPr>
        <w:rFonts w:eastAsia="Times New Roman"/>
        <w:sz w:val="18"/>
        <w:szCs w:val="18"/>
      </w:rPr>
      <w:t>,</w:t>
    </w:r>
    <w:r>
      <w:rPr>
        <w:rFonts w:eastAsia="Times New Roman"/>
        <w:spacing w:val="-3"/>
        <w:sz w:val="18"/>
        <w:szCs w:val="18"/>
      </w:rPr>
      <w:t>A</w:t>
    </w:r>
    <w:r>
      <w:rPr>
        <w:rFonts w:eastAsia="Times New Roman"/>
        <w:sz w:val="18"/>
        <w:szCs w:val="18"/>
      </w:rPr>
      <w:t>ll ri</w:t>
    </w:r>
    <w:r>
      <w:rPr>
        <w:rFonts w:eastAsia="Times New Roman"/>
        <w:spacing w:val="-1"/>
        <w:sz w:val="18"/>
        <w:szCs w:val="18"/>
      </w:rPr>
      <w:t>g</w:t>
    </w:r>
    <w:r>
      <w:rPr>
        <w:rFonts w:eastAsia="Times New Roman"/>
        <w:spacing w:val="1"/>
        <w:sz w:val="18"/>
        <w:szCs w:val="18"/>
      </w:rPr>
      <w:t>h</w:t>
    </w:r>
    <w:r>
      <w:rPr>
        <w:rFonts w:eastAsia="Times New Roman"/>
        <w:sz w:val="18"/>
        <w:szCs w:val="18"/>
      </w:rPr>
      <w:t>t r</w:t>
    </w:r>
    <w:r>
      <w:rPr>
        <w:rFonts w:eastAsia="Times New Roman"/>
        <w:spacing w:val="-1"/>
        <w:sz w:val="18"/>
        <w:szCs w:val="18"/>
      </w:rPr>
      <w:t>e</w:t>
    </w:r>
    <w:r>
      <w:rPr>
        <w:rFonts w:eastAsia="Times New Roman"/>
        <w:sz w:val="18"/>
        <w:szCs w:val="18"/>
      </w:rPr>
      <w:t>s</w:t>
    </w:r>
    <w:r>
      <w:rPr>
        <w:rFonts w:eastAsia="Times New Roman"/>
        <w:spacing w:val="-2"/>
        <w:sz w:val="18"/>
        <w:szCs w:val="18"/>
      </w:rPr>
      <w:t>e</w:t>
    </w:r>
    <w:r>
      <w:rPr>
        <w:rFonts w:eastAsia="Times New Roman"/>
        <w:sz w:val="18"/>
        <w:szCs w:val="18"/>
      </w:rPr>
      <w:t>r</w:t>
    </w:r>
    <w:r>
      <w:rPr>
        <w:rFonts w:eastAsia="Times New Roman"/>
        <w:spacing w:val="-2"/>
        <w:sz w:val="18"/>
        <w:szCs w:val="18"/>
      </w:rPr>
      <w:t>v</w:t>
    </w:r>
    <w:r>
      <w:rPr>
        <w:rFonts w:eastAsia="Times New Roman"/>
        <w:spacing w:val="-1"/>
        <w:sz w:val="18"/>
        <w:szCs w:val="18"/>
      </w:rPr>
      <w:t>e</w:t>
    </w:r>
    <w:r>
      <w:rPr>
        <w:rFonts w:eastAsia="Times New Roman"/>
        <w:spacing w:val="1"/>
        <w:sz w:val="18"/>
        <w:szCs w:val="18"/>
      </w:rPr>
      <w:t>d</w:t>
    </w:r>
    <w:r>
      <w:rPr>
        <w:rFonts w:eastAsia="Times New Roman"/>
        <w:sz w:val="18"/>
        <w:szCs w:val="18"/>
      </w:rPr>
      <w:t>.</w:t>
    </w:r>
    <w:r>
      <w:rPr>
        <w:rFonts w:hint="eastAsia"/>
        <w:sz w:val="18"/>
        <w:szCs w:val="18"/>
      </w:rPr>
      <w:tab/>
    </w:r>
    <w:r>
      <w:rPr>
        <w:rFonts w:hint="eastAsia"/>
        <w:sz w:val="18"/>
        <w:szCs w:val="18"/>
      </w:rPr>
      <w:tab/>
    </w:r>
    <w:r>
      <w:rPr>
        <w:rFonts w:hint="eastAsia"/>
        <w:sz w:val="18"/>
        <w:szCs w:val="18"/>
      </w:rPr>
      <w:tab/>
    </w:r>
    <w:r>
      <w:rPr>
        <w:rFonts w:hint="eastAsia"/>
        <w:sz w:val="18"/>
        <w:szCs w:val="18"/>
      </w:rPr>
      <w:tab/>
    </w:r>
    <w:r>
      <w:rPr>
        <w:rFonts w:hint="eastAsia"/>
        <w:sz w:val="18"/>
        <w:szCs w:val="18"/>
      </w:rPr>
      <w:tab/>
    </w:r>
    <w:r>
      <w:rPr>
        <w:rFonts w:hint="eastAsia"/>
        <w:sz w:val="18"/>
        <w:szCs w:val="18"/>
      </w:rPr>
      <w:tab/>
    </w:r>
    <w:r>
      <w:rPr>
        <w:rFonts w:hint="eastAsia"/>
        <w:sz w:val="18"/>
        <w:szCs w:val="18"/>
      </w:rPr>
      <w:tab/>
    </w:r>
    <w:r>
      <w:rPr>
        <w:b/>
        <w:sz w:val="18"/>
        <w:szCs w:val="18"/>
      </w:rPr>
      <w:fldChar w:fldCharType="begin"/>
    </w:r>
    <w:r>
      <w:rPr>
        <w:b/>
        <w:sz w:val="18"/>
        <w:szCs w:val="18"/>
      </w:rPr>
      <w:instrText xml:space="preserve">PAGE  \* Arabic  \* MERGEFORMAT</w:instrText>
    </w:r>
    <w:r>
      <w:rPr>
        <w:b/>
        <w:sz w:val="18"/>
        <w:szCs w:val="18"/>
      </w:rPr>
      <w:fldChar w:fldCharType="separate"/>
    </w:r>
    <w:r>
      <w:rPr>
        <w:b/>
        <w:sz w:val="18"/>
        <w:szCs w:val="18"/>
        <w:lang w:val="zh-CN"/>
      </w:rPr>
      <w:t>7</w:t>
    </w:r>
    <w:r>
      <w:rPr>
        <w:b/>
        <w:sz w:val="18"/>
        <w:szCs w:val="18"/>
      </w:rPr>
      <w:fldChar w:fldCharType="end"/>
    </w:r>
    <w:r>
      <w:rPr>
        <w:sz w:val="18"/>
        <w:szCs w:val="18"/>
        <w:lang w:val="zh-CN"/>
      </w:rPr>
      <w:t xml:space="preserve"> / </w:t>
    </w:r>
    <w:r>
      <w:fldChar w:fldCharType="begin"/>
    </w:r>
    <w:r>
      <w:instrText xml:space="preserve">NUMPAGES  \* Arabic  \* MERGEFORMAT</w:instrText>
    </w:r>
    <w:r>
      <w:fldChar w:fldCharType="separate"/>
    </w:r>
    <w:r>
      <w:rPr>
        <w:b/>
        <w:sz w:val="18"/>
        <w:szCs w:val="18"/>
        <w:lang w:val="zh-CN"/>
      </w:rPr>
      <w:t>22</w:t>
    </w:r>
    <w:r>
      <w:rPr>
        <w:b/>
        <w:sz w:val="18"/>
        <w:szCs w:val="18"/>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rFonts w:hint="eastAsia"/>
      </w:rPr>
      <w:t>江苏省职业病防治信息管理平台-技术人员培训管理操作手册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41D88"/>
    <w:multiLevelType w:val="multilevel"/>
    <w:tmpl w:val="16C41D88"/>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
    <w:nsid w:val="32D2643E"/>
    <w:multiLevelType w:val="multilevel"/>
    <w:tmpl w:val="32D2643E"/>
    <w:lvl w:ilvl="0" w:tentative="0">
      <w:start w:val="1"/>
      <w:numFmt w:val="bullet"/>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2">
    <w:nsid w:val="3D564A96"/>
    <w:multiLevelType w:val="multilevel"/>
    <w:tmpl w:val="3D564A9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4B315BBC"/>
    <w:multiLevelType w:val="multilevel"/>
    <w:tmpl w:val="4B315BB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4E5D198C"/>
    <w:multiLevelType w:val="multilevel"/>
    <w:tmpl w:val="4E5D198C"/>
    <w:lvl w:ilvl="0" w:tentative="0">
      <w:start w:val="1"/>
      <w:numFmt w:val="bullet"/>
      <w:lvlText w:val=""/>
      <w:lvlJc w:val="left"/>
      <w:pPr>
        <w:ind w:left="645" w:hanging="645"/>
      </w:pPr>
      <w:rPr>
        <w:rFonts w:hint="default" w:ascii="Wingdings" w:hAnsi="Wingdings"/>
      </w:rPr>
    </w:lvl>
    <w:lvl w:ilvl="1" w:tentative="0">
      <w:start w:val="2"/>
      <w:numFmt w:val="decimal"/>
      <w:lvlText w:val="%1.%2"/>
      <w:lvlJc w:val="left"/>
      <w:pPr>
        <w:ind w:left="645" w:hanging="645"/>
      </w:pPr>
      <w:rPr>
        <w:rFonts w:hint="default"/>
      </w:rPr>
    </w:lvl>
    <w:lvl w:ilvl="2" w:tentative="0">
      <w:start w:val="4"/>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
    <w:nsid w:val="4F22159F"/>
    <w:multiLevelType w:val="multilevel"/>
    <w:tmpl w:val="4F22159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57576F75"/>
    <w:multiLevelType w:val="multilevel"/>
    <w:tmpl w:val="57576F75"/>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3D1275F"/>
    <w:multiLevelType w:val="multilevel"/>
    <w:tmpl w:val="63D1275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B7B1F3F"/>
    <w:multiLevelType w:val="multilevel"/>
    <w:tmpl w:val="6B7B1F3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6D226E60"/>
    <w:multiLevelType w:val="multilevel"/>
    <w:tmpl w:val="6D226E60"/>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num w:numId="1">
    <w:abstractNumId w:val="1"/>
  </w:num>
  <w:num w:numId="2">
    <w:abstractNumId w:val="3"/>
  </w:num>
  <w:num w:numId="3">
    <w:abstractNumId w:val="8"/>
  </w:num>
  <w:num w:numId="4">
    <w:abstractNumId w:val="5"/>
  </w:num>
  <w:num w:numId="5">
    <w:abstractNumId w:val="7"/>
  </w:num>
  <w:num w:numId="6">
    <w:abstractNumId w:val="9"/>
  </w:num>
  <w:num w:numId="7">
    <w:abstractNumId w:val="0"/>
  </w:num>
  <w:num w:numId="8">
    <w:abstractNumId w:val="4"/>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C2C8E"/>
    <w:rsid w:val="0000319E"/>
    <w:rsid w:val="000052A4"/>
    <w:rsid w:val="00006009"/>
    <w:rsid w:val="00021446"/>
    <w:rsid w:val="0002565C"/>
    <w:rsid w:val="0003297E"/>
    <w:rsid w:val="00040E02"/>
    <w:rsid w:val="00041C33"/>
    <w:rsid w:val="000432AD"/>
    <w:rsid w:val="00053355"/>
    <w:rsid w:val="00062198"/>
    <w:rsid w:val="000707C3"/>
    <w:rsid w:val="00072B11"/>
    <w:rsid w:val="00077EE3"/>
    <w:rsid w:val="00080408"/>
    <w:rsid w:val="000966A9"/>
    <w:rsid w:val="000B0523"/>
    <w:rsid w:val="000B654E"/>
    <w:rsid w:val="000B69C5"/>
    <w:rsid w:val="000B7450"/>
    <w:rsid w:val="000C628A"/>
    <w:rsid w:val="000C630B"/>
    <w:rsid w:val="000D2FD1"/>
    <w:rsid w:val="000D356F"/>
    <w:rsid w:val="000E06E1"/>
    <w:rsid w:val="000E25AB"/>
    <w:rsid w:val="000F3EBE"/>
    <w:rsid w:val="000F62D6"/>
    <w:rsid w:val="00103F9B"/>
    <w:rsid w:val="00107260"/>
    <w:rsid w:val="001102D2"/>
    <w:rsid w:val="00122FD2"/>
    <w:rsid w:val="001233C4"/>
    <w:rsid w:val="00127995"/>
    <w:rsid w:val="0013565F"/>
    <w:rsid w:val="00140864"/>
    <w:rsid w:val="00143B44"/>
    <w:rsid w:val="001515A6"/>
    <w:rsid w:val="0015603A"/>
    <w:rsid w:val="001620B8"/>
    <w:rsid w:val="00166C3D"/>
    <w:rsid w:val="0016773D"/>
    <w:rsid w:val="001723D0"/>
    <w:rsid w:val="00184DA3"/>
    <w:rsid w:val="00195751"/>
    <w:rsid w:val="001A1F02"/>
    <w:rsid w:val="001A64C5"/>
    <w:rsid w:val="001B1D77"/>
    <w:rsid w:val="001E0329"/>
    <w:rsid w:val="001F0155"/>
    <w:rsid w:val="001F5C12"/>
    <w:rsid w:val="00205017"/>
    <w:rsid w:val="0020758D"/>
    <w:rsid w:val="00213023"/>
    <w:rsid w:val="00222082"/>
    <w:rsid w:val="002238BD"/>
    <w:rsid w:val="00232FAE"/>
    <w:rsid w:val="0023323D"/>
    <w:rsid w:val="002336F8"/>
    <w:rsid w:val="00241436"/>
    <w:rsid w:val="00252447"/>
    <w:rsid w:val="00267260"/>
    <w:rsid w:val="00271852"/>
    <w:rsid w:val="00273F97"/>
    <w:rsid w:val="00274967"/>
    <w:rsid w:val="00282B78"/>
    <w:rsid w:val="002832D2"/>
    <w:rsid w:val="0028731D"/>
    <w:rsid w:val="002A1E1C"/>
    <w:rsid w:val="002A7674"/>
    <w:rsid w:val="002B515D"/>
    <w:rsid w:val="002B7976"/>
    <w:rsid w:val="002C0323"/>
    <w:rsid w:val="002C3964"/>
    <w:rsid w:val="002D1CC0"/>
    <w:rsid w:val="002D28CC"/>
    <w:rsid w:val="002E4A0B"/>
    <w:rsid w:val="002E5507"/>
    <w:rsid w:val="002E67A1"/>
    <w:rsid w:val="002F2638"/>
    <w:rsid w:val="002F6C89"/>
    <w:rsid w:val="00310601"/>
    <w:rsid w:val="003161D3"/>
    <w:rsid w:val="0031729F"/>
    <w:rsid w:val="003217E6"/>
    <w:rsid w:val="0032403E"/>
    <w:rsid w:val="00326007"/>
    <w:rsid w:val="00337AD2"/>
    <w:rsid w:val="00337DAD"/>
    <w:rsid w:val="003501A1"/>
    <w:rsid w:val="00360626"/>
    <w:rsid w:val="00370753"/>
    <w:rsid w:val="00374776"/>
    <w:rsid w:val="00376AA6"/>
    <w:rsid w:val="0037719D"/>
    <w:rsid w:val="0038448F"/>
    <w:rsid w:val="003A42BC"/>
    <w:rsid w:val="003A6BA5"/>
    <w:rsid w:val="003C5BB5"/>
    <w:rsid w:val="003C7B7F"/>
    <w:rsid w:val="003D157F"/>
    <w:rsid w:val="003D75F0"/>
    <w:rsid w:val="003E3A69"/>
    <w:rsid w:val="003E4379"/>
    <w:rsid w:val="003E56BC"/>
    <w:rsid w:val="003F5281"/>
    <w:rsid w:val="0040095E"/>
    <w:rsid w:val="0040408B"/>
    <w:rsid w:val="00412620"/>
    <w:rsid w:val="00412CB4"/>
    <w:rsid w:val="004148FE"/>
    <w:rsid w:val="004168CD"/>
    <w:rsid w:val="00417231"/>
    <w:rsid w:val="004209CF"/>
    <w:rsid w:val="00444EB7"/>
    <w:rsid w:val="004477C4"/>
    <w:rsid w:val="004624B2"/>
    <w:rsid w:val="00464CBD"/>
    <w:rsid w:val="00470E8F"/>
    <w:rsid w:val="004750CC"/>
    <w:rsid w:val="0048250D"/>
    <w:rsid w:val="004927C2"/>
    <w:rsid w:val="00497416"/>
    <w:rsid w:val="004A287E"/>
    <w:rsid w:val="004A35EA"/>
    <w:rsid w:val="004A5773"/>
    <w:rsid w:val="004B64F2"/>
    <w:rsid w:val="004C418A"/>
    <w:rsid w:val="004C47E7"/>
    <w:rsid w:val="004C5138"/>
    <w:rsid w:val="004D562D"/>
    <w:rsid w:val="004F15AB"/>
    <w:rsid w:val="004F562C"/>
    <w:rsid w:val="00506B59"/>
    <w:rsid w:val="00512DA6"/>
    <w:rsid w:val="0052037C"/>
    <w:rsid w:val="00520CE5"/>
    <w:rsid w:val="00537C21"/>
    <w:rsid w:val="00545D47"/>
    <w:rsid w:val="00552131"/>
    <w:rsid w:val="005524FB"/>
    <w:rsid w:val="0056761E"/>
    <w:rsid w:val="00573FC4"/>
    <w:rsid w:val="0058667A"/>
    <w:rsid w:val="00594DBC"/>
    <w:rsid w:val="005959D5"/>
    <w:rsid w:val="00596449"/>
    <w:rsid w:val="005A7591"/>
    <w:rsid w:val="005B47F6"/>
    <w:rsid w:val="005B4A65"/>
    <w:rsid w:val="005C08C6"/>
    <w:rsid w:val="005C44FE"/>
    <w:rsid w:val="005C7621"/>
    <w:rsid w:val="005D315B"/>
    <w:rsid w:val="005D3BA2"/>
    <w:rsid w:val="005D5598"/>
    <w:rsid w:val="005D666B"/>
    <w:rsid w:val="005E70E8"/>
    <w:rsid w:val="0060533F"/>
    <w:rsid w:val="0061142E"/>
    <w:rsid w:val="00622F35"/>
    <w:rsid w:val="00632131"/>
    <w:rsid w:val="006432A2"/>
    <w:rsid w:val="00663810"/>
    <w:rsid w:val="0067304A"/>
    <w:rsid w:val="00677BDB"/>
    <w:rsid w:val="00684426"/>
    <w:rsid w:val="006933A2"/>
    <w:rsid w:val="0069527C"/>
    <w:rsid w:val="006B25FD"/>
    <w:rsid w:val="006B50FB"/>
    <w:rsid w:val="006D65C0"/>
    <w:rsid w:val="006E19C4"/>
    <w:rsid w:val="006E1F9F"/>
    <w:rsid w:val="006E31FF"/>
    <w:rsid w:val="006E3970"/>
    <w:rsid w:val="006F76E1"/>
    <w:rsid w:val="00711C3F"/>
    <w:rsid w:val="0072003E"/>
    <w:rsid w:val="007228BA"/>
    <w:rsid w:val="007229AF"/>
    <w:rsid w:val="00724485"/>
    <w:rsid w:val="00740109"/>
    <w:rsid w:val="00742D75"/>
    <w:rsid w:val="007452B1"/>
    <w:rsid w:val="00751F67"/>
    <w:rsid w:val="007524E8"/>
    <w:rsid w:val="00753A1A"/>
    <w:rsid w:val="00761158"/>
    <w:rsid w:val="00762BDB"/>
    <w:rsid w:val="0076459A"/>
    <w:rsid w:val="00772492"/>
    <w:rsid w:val="0077574C"/>
    <w:rsid w:val="0077606B"/>
    <w:rsid w:val="00776ECB"/>
    <w:rsid w:val="00777DFE"/>
    <w:rsid w:val="00786BD1"/>
    <w:rsid w:val="00787251"/>
    <w:rsid w:val="00787524"/>
    <w:rsid w:val="00791A4F"/>
    <w:rsid w:val="007A426A"/>
    <w:rsid w:val="007B35B4"/>
    <w:rsid w:val="007D2849"/>
    <w:rsid w:val="007D55E4"/>
    <w:rsid w:val="007F1DB7"/>
    <w:rsid w:val="00800706"/>
    <w:rsid w:val="0080505D"/>
    <w:rsid w:val="008105C8"/>
    <w:rsid w:val="008116C6"/>
    <w:rsid w:val="00815EB2"/>
    <w:rsid w:val="00820D44"/>
    <w:rsid w:val="008356E1"/>
    <w:rsid w:val="008425CC"/>
    <w:rsid w:val="008704B3"/>
    <w:rsid w:val="00870877"/>
    <w:rsid w:val="008759DC"/>
    <w:rsid w:val="00880237"/>
    <w:rsid w:val="00881DE8"/>
    <w:rsid w:val="008A17A6"/>
    <w:rsid w:val="008A67ED"/>
    <w:rsid w:val="008A6D7A"/>
    <w:rsid w:val="008A7D28"/>
    <w:rsid w:val="008B1EB7"/>
    <w:rsid w:val="008C1335"/>
    <w:rsid w:val="008C508D"/>
    <w:rsid w:val="008E03C2"/>
    <w:rsid w:val="008E2A42"/>
    <w:rsid w:val="008E5981"/>
    <w:rsid w:val="008E658F"/>
    <w:rsid w:val="008F26AB"/>
    <w:rsid w:val="008F41F9"/>
    <w:rsid w:val="008F6276"/>
    <w:rsid w:val="008F6D62"/>
    <w:rsid w:val="008F7E6F"/>
    <w:rsid w:val="0090216D"/>
    <w:rsid w:val="00902D58"/>
    <w:rsid w:val="009033CC"/>
    <w:rsid w:val="009043E8"/>
    <w:rsid w:val="00915DD5"/>
    <w:rsid w:val="00916D2F"/>
    <w:rsid w:val="009253EA"/>
    <w:rsid w:val="00931B30"/>
    <w:rsid w:val="00936E72"/>
    <w:rsid w:val="009411FE"/>
    <w:rsid w:val="009441E3"/>
    <w:rsid w:val="009457A1"/>
    <w:rsid w:val="009500E6"/>
    <w:rsid w:val="009525AE"/>
    <w:rsid w:val="00953FC6"/>
    <w:rsid w:val="00955BAF"/>
    <w:rsid w:val="00964949"/>
    <w:rsid w:val="009709F0"/>
    <w:rsid w:val="00972E09"/>
    <w:rsid w:val="009801FD"/>
    <w:rsid w:val="009858B3"/>
    <w:rsid w:val="00991C85"/>
    <w:rsid w:val="0099450D"/>
    <w:rsid w:val="009A659B"/>
    <w:rsid w:val="009B2CAF"/>
    <w:rsid w:val="009C2C8E"/>
    <w:rsid w:val="009C33A7"/>
    <w:rsid w:val="009D0B35"/>
    <w:rsid w:val="009E425E"/>
    <w:rsid w:val="009E699D"/>
    <w:rsid w:val="00A05E61"/>
    <w:rsid w:val="00A14276"/>
    <w:rsid w:val="00A145F1"/>
    <w:rsid w:val="00A16C9E"/>
    <w:rsid w:val="00A23D1C"/>
    <w:rsid w:val="00A24726"/>
    <w:rsid w:val="00A36535"/>
    <w:rsid w:val="00A41807"/>
    <w:rsid w:val="00A43754"/>
    <w:rsid w:val="00A51167"/>
    <w:rsid w:val="00A56C14"/>
    <w:rsid w:val="00A66E01"/>
    <w:rsid w:val="00A73F8F"/>
    <w:rsid w:val="00A83E65"/>
    <w:rsid w:val="00A9150C"/>
    <w:rsid w:val="00A97D50"/>
    <w:rsid w:val="00AA4A0F"/>
    <w:rsid w:val="00AA4C2D"/>
    <w:rsid w:val="00AA5C50"/>
    <w:rsid w:val="00AA6FD5"/>
    <w:rsid w:val="00AB1069"/>
    <w:rsid w:val="00AB2781"/>
    <w:rsid w:val="00AB6D59"/>
    <w:rsid w:val="00AE0EE1"/>
    <w:rsid w:val="00AE153D"/>
    <w:rsid w:val="00AF6785"/>
    <w:rsid w:val="00B13D83"/>
    <w:rsid w:val="00B2266A"/>
    <w:rsid w:val="00B235D6"/>
    <w:rsid w:val="00B35333"/>
    <w:rsid w:val="00B358DC"/>
    <w:rsid w:val="00B40A8D"/>
    <w:rsid w:val="00B434C1"/>
    <w:rsid w:val="00B51A8E"/>
    <w:rsid w:val="00B7044C"/>
    <w:rsid w:val="00B70F3E"/>
    <w:rsid w:val="00B7354E"/>
    <w:rsid w:val="00BA27E5"/>
    <w:rsid w:val="00BB7055"/>
    <w:rsid w:val="00BC13C7"/>
    <w:rsid w:val="00BC36DE"/>
    <w:rsid w:val="00BC4F5F"/>
    <w:rsid w:val="00BC5DED"/>
    <w:rsid w:val="00BD480B"/>
    <w:rsid w:val="00BE1715"/>
    <w:rsid w:val="00BE2480"/>
    <w:rsid w:val="00BE4950"/>
    <w:rsid w:val="00BE495C"/>
    <w:rsid w:val="00BF4A06"/>
    <w:rsid w:val="00BF5576"/>
    <w:rsid w:val="00BF7BCA"/>
    <w:rsid w:val="00C0245A"/>
    <w:rsid w:val="00C11B42"/>
    <w:rsid w:val="00C2431C"/>
    <w:rsid w:val="00C25933"/>
    <w:rsid w:val="00C27CF5"/>
    <w:rsid w:val="00C360EF"/>
    <w:rsid w:val="00C3799E"/>
    <w:rsid w:val="00C41529"/>
    <w:rsid w:val="00C420BE"/>
    <w:rsid w:val="00C42594"/>
    <w:rsid w:val="00C47BBC"/>
    <w:rsid w:val="00C5059C"/>
    <w:rsid w:val="00C51B0D"/>
    <w:rsid w:val="00C53D97"/>
    <w:rsid w:val="00C54DF5"/>
    <w:rsid w:val="00C60822"/>
    <w:rsid w:val="00C77D5D"/>
    <w:rsid w:val="00C82197"/>
    <w:rsid w:val="00C84FC9"/>
    <w:rsid w:val="00C90816"/>
    <w:rsid w:val="00CA6F8E"/>
    <w:rsid w:val="00CC48A0"/>
    <w:rsid w:val="00CC54BF"/>
    <w:rsid w:val="00CD2CAC"/>
    <w:rsid w:val="00CD6A28"/>
    <w:rsid w:val="00CE125E"/>
    <w:rsid w:val="00CE3E2A"/>
    <w:rsid w:val="00D003CB"/>
    <w:rsid w:val="00D14DA4"/>
    <w:rsid w:val="00D263F3"/>
    <w:rsid w:val="00D320E4"/>
    <w:rsid w:val="00D3447B"/>
    <w:rsid w:val="00D404B2"/>
    <w:rsid w:val="00D44FD3"/>
    <w:rsid w:val="00D61063"/>
    <w:rsid w:val="00D63F57"/>
    <w:rsid w:val="00D65720"/>
    <w:rsid w:val="00D73E27"/>
    <w:rsid w:val="00D930B4"/>
    <w:rsid w:val="00DA4653"/>
    <w:rsid w:val="00DA78E9"/>
    <w:rsid w:val="00DB58F3"/>
    <w:rsid w:val="00DC06BB"/>
    <w:rsid w:val="00DD3EFB"/>
    <w:rsid w:val="00DE62E6"/>
    <w:rsid w:val="00DF0D23"/>
    <w:rsid w:val="00DF208B"/>
    <w:rsid w:val="00DF7A1E"/>
    <w:rsid w:val="00E0304A"/>
    <w:rsid w:val="00E0575C"/>
    <w:rsid w:val="00E05D4C"/>
    <w:rsid w:val="00E2242B"/>
    <w:rsid w:val="00E33C6A"/>
    <w:rsid w:val="00E35C8D"/>
    <w:rsid w:val="00E442CA"/>
    <w:rsid w:val="00E47648"/>
    <w:rsid w:val="00E508C9"/>
    <w:rsid w:val="00E5468C"/>
    <w:rsid w:val="00E622FB"/>
    <w:rsid w:val="00E72F07"/>
    <w:rsid w:val="00E739AC"/>
    <w:rsid w:val="00E73CFD"/>
    <w:rsid w:val="00E771DD"/>
    <w:rsid w:val="00E92762"/>
    <w:rsid w:val="00EA1499"/>
    <w:rsid w:val="00EC0AAE"/>
    <w:rsid w:val="00EC0BF8"/>
    <w:rsid w:val="00EC2D5A"/>
    <w:rsid w:val="00EE1BDB"/>
    <w:rsid w:val="00EE3463"/>
    <w:rsid w:val="00EE3E66"/>
    <w:rsid w:val="00EF5DB7"/>
    <w:rsid w:val="00EF784C"/>
    <w:rsid w:val="00F0218E"/>
    <w:rsid w:val="00F11617"/>
    <w:rsid w:val="00F2008F"/>
    <w:rsid w:val="00F218FC"/>
    <w:rsid w:val="00F230C0"/>
    <w:rsid w:val="00F27F73"/>
    <w:rsid w:val="00F339FC"/>
    <w:rsid w:val="00F44601"/>
    <w:rsid w:val="00F64A94"/>
    <w:rsid w:val="00F70A46"/>
    <w:rsid w:val="00F733B1"/>
    <w:rsid w:val="00FD7E7E"/>
    <w:rsid w:val="00FE1598"/>
    <w:rsid w:val="00FF118D"/>
    <w:rsid w:val="07CD4249"/>
    <w:rsid w:val="0AEB2C3F"/>
    <w:rsid w:val="0E542B6B"/>
    <w:rsid w:val="0FBA0E44"/>
    <w:rsid w:val="14434555"/>
    <w:rsid w:val="1C391A05"/>
    <w:rsid w:val="259F5752"/>
    <w:rsid w:val="26E30A0D"/>
    <w:rsid w:val="2F39043D"/>
    <w:rsid w:val="33FE0A9F"/>
    <w:rsid w:val="34AC77C9"/>
    <w:rsid w:val="35D91614"/>
    <w:rsid w:val="3C683B93"/>
    <w:rsid w:val="3E4D26CC"/>
    <w:rsid w:val="52557689"/>
    <w:rsid w:val="6A061218"/>
    <w:rsid w:val="6BD44E97"/>
    <w:rsid w:val="6F0B0BEA"/>
    <w:rsid w:val="707537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50" w:afterLines="50" w:line="300" w:lineRule="auto"/>
      <w:jc w:val="center"/>
      <w:outlineLvl w:val="0"/>
    </w:pPr>
    <w:rPr>
      <w:b/>
      <w:bCs/>
      <w:kern w:val="44"/>
      <w:sz w:val="48"/>
      <w:szCs w:val="44"/>
    </w:rPr>
  </w:style>
  <w:style w:type="paragraph" w:styleId="3">
    <w:name w:val="heading 2"/>
    <w:basedOn w:val="1"/>
    <w:next w:val="1"/>
    <w:unhideWhenUsed/>
    <w:qFormat/>
    <w:uiPriority w:val="0"/>
    <w:pPr>
      <w:keepNext/>
      <w:keepLines/>
      <w:spacing w:beforeLines="50" w:afterLines="50" w:line="300" w:lineRule="auto"/>
      <w:outlineLvl w:val="1"/>
    </w:pPr>
    <w:rPr>
      <w:b/>
      <w:bCs/>
      <w:kern w:val="0"/>
      <w:sz w:val="28"/>
      <w:szCs w:val="32"/>
    </w:rPr>
  </w:style>
  <w:style w:type="paragraph" w:styleId="4">
    <w:name w:val="heading 3"/>
    <w:basedOn w:val="1"/>
    <w:next w:val="1"/>
    <w:unhideWhenUsed/>
    <w:qFormat/>
    <w:uiPriority w:val="0"/>
    <w:pPr>
      <w:keepNext/>
      <w:keepLines/>
      <w:spacing w:before="260" w:after="260" w:line="416" w:lineRule="auto"/>
      <w:outlineLvl w:val="2"/>
    </w:pPr>
    <w:rPr>
      <w:b/>
      <w:bCs/>
      <w:szCs w:val="32"/>
    </w:rPr>
  </w:style>
  <w:style w:type="paragraph" w:styleId="5">
    <w:name w:val="heading 4"/>
    <w:basedOn w:val="1"/>
    <w:next w:val="1"/>
    <w:link w:val="28"/>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uiPriority w:val="1"/>
  </w:style>
  <w:style w:type="table" w:default="1" w:styleId="20">
    <w:name w:val="Normal Table"/>
    <w:semiHidden/>
    <w:unhideWhenUsed/>
    <w:uiPriority w:val="99"/>
    <w:tblPr>
      <w:tblLayout w:type="fixed"/>
      <w:tblCellMar>
        <w:top w:w="0" w:type="dxa"/>
        <w:left w:w="108" w:type="dxa"/>
        <w:bottom w:w="0" w:type="dxa"/>
        <w:right w:w="108" w:type="dxa"/>
      </w:tblCellMar>
    </w:tblPr>
  </w:style>
  <w:style w:type="paragraph" w:styleId="6">
    <w:name w:val="Normal Indent"/>
    <w:basedOn w:val="1"/>
    <w:qFormat/>
    <w:uiPriority w:val="0"/>
    <w:pPr>
      <w:spacing w:after="120" w:line="360" w:lineRule="exact"/>
      <w:ind w:firstLine="1080"/>
    </w:pPr>
    <w:rPr>
      <w:sz w:val="24"/>
      <w:szCs w:val="20"/>
    </w:rPr>
  </w:style>
  <w:style w:type="paragraph" w:styleId="7">
    <w:name w:val="Document Map"/>
    <w:basedOn w:val="1"/>
    <w:link w:val="27"/>
    <w:qFormat/>
    <w:uiPriority w:val="0"/>
    <w:rPr>
      <w:rFonts w:ascii="宋体" w:eastAsia="宋体"/>
      <w:sz w:val="18"/>
      <w:szCs w:val="18"/>
    </w:rPr>
  </w:style>
  <w:style w:type="paragraph" w:styleId="8">
    <w:name w:val="toc 3"/>
    <w:basedOn w:val="1"/>
    <w:next w:val="1"/>
    <w:qFormat/>
    <w:uiPriority w:val="39"/>
    <w:pPr>
      <w:ind w:left="840" w:leftChars="400"/>
    </w:pPr>
  </w:style>
  <w:style w:type="paragraph" w:styleId="9">
    <w:name w:val="Date"/>
    <w:basedOn w:val="1"/>
    <w:next w:val="1"/>
    <w:link w:val="26"/>
    <w:qFormat/>
    <w:uiPriority w:val="0"/>
    <w:pPr>
      <w:ind w:left="100" w:leftChars="2500"/>
    </w:pPr>
  </w:style>
  <w:style w:type="paragraph" w:styleId="10">
    <w:name w:val="Balloon Text"/>
    <w:basedOn w:val="1"/>
    <w:link w:val="21"/>
    <w:qFormat/>
    <w:uiPriority w:val="0"/>
    <w:rPr>
      <w:sz w:val="18"/>
      <w:szCs w:val="18"/>
    </w:rPr>
  </w:style>
  <w:style w:type="paragraph" w:styleId="11">
    <w:name w:val="footer"/>
    <w:basedOn w:val="1"/>
    <w:link w:val="24"/>
    <w:qFormat/>
    <w:uiPriority w:val="99"/>
    <w:pPr>
      <w:tabs>
        <w:tab w:val="center" w:pos="4153"/>
        <w:tab w:val="right" w:pos="8306"/>
      </w:tabs>
      <w:snapToGrid w:val="0"/>
      <w:jc w:val="left"/>
    </w:pPr>
    <w:rPr>
      <w:kern w:val="0"/>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uiPriority w:val="39"/>
  </w:style>
  <w:style w:type="paragraph" w:styleId="14">
    <w:name w:val="Subtitle"/>
    <w:basedOn w:val="1"/>
    <w:next w:val="1"/>
    <w:link w:val="23"/>
    <w:qFormat/>
    <w:uiPriority w:val="0"/>
    <w:pPr>
      <w:spacing w:line="480" w:lineRule="auto"/>
      <w:jc w:val="left"/>
      <w:outlineLvl w:val="1"/>
    </w:pPr>
    <w:rPr>
      <w:rFonts w:eastAsia="宋体" w:asciiTheme="majorHAnsi" w:hAnsiTheme="majorHAnsi" w:cstheme="majorBidi"/>
      <w:bCs/>
      <w:kern w:val="28"/>
      <w:sz w:val="24"/>
      <w:szCs w:val="32"/>
    </w:rPr>
  </w:style>
  <w:style w:type="paragraph" w:styleId="15">
    <w:name w:val="toc 2"/>
    <w:basedOn w:val="1"/>
    <w:next w:val="1"/>
    <w:qFormat/>
    <w:uiPriority w:val="39"/>
    <w:pPr>
      <w:ind w:left="420" w:leftChars="200"/>
    </w:pPr>
  </w:style>
  <w:style w:type="paragraph" w:styleId="16">
    <w:name w:val="Normal (Web)"/>
    <w:basedOn w:val="1"/>
    <w:qFormat/>
    <w:uiPriority w:val="0"/>
    <w:rPr>
      <w:rFonts w:eastAsia="宋体" w:cs="Times New Roman"/>
      <w:sz w:val="24"/>
    </w:rPr>
  </w:style>
  <w:style w:type="character" w:styleId="18">
    <w:name w:val="page number"/>
    <w:basedOn w:val="17"/>
    <w:qFormat/>
    <w:uiPriority w:val="0"/>
  </w:style>
  <w:style w:type="character" w:styleId="19">
    <w:name w:val="Hyperlink"/>
    <w:basedOn w:val="17"/>
    <w:unhideWhenUsed/>
    <w:qFormat/>
    <w:uiPriority w:val="99"/>
    <w:rPr>
      <w:color w:val="0563C1" w:themeColor="hyperlink"/>
      <w:u w:val="single"/>
    </w:rPr>
  </w:style>
  <w:style w:type="character" w:customStyle="1" w:styleId="21">
    <w:name w:val="批注框文本 Char"/>
    <w:basedOn w:val="17"/>
    <w:link w:val="10"/>
    <w:qFormat/>
    <w:uiPriority w:val="0"/>
    <w:rPr>
      <w:rFonts w:ascii="Times New Roman" w:hAnsi="Times New Roman"/>
      <w:kern w:val="2"/>
      <w:sz w:val="18"/>
      <w:szCs w:val="18"/>
    </w:rPr>
  </w:style>
  <w:style w:type="paragraph" w:styleId="22">
    <w:name w:val="List Paragraph"/>
    <w:basedOn w:val="1"/>
    <w:unhideWhenUsed/>
    <w:qFormat/>
    <w:uiPriority w:val="99"/>
    <w:pPr>
      <w:ind w:firstLine="420" w:firstLineChars="200"/>
    </w:pPr>
  </w:style>
  <w:style w:type="character" w:customStyle="1" w:styleId="23">
    <w:name w:val="副标题 Char"/>
    <w:basedOn w:val="17"/>
    <w:link w:val="14"/>
    <w:qFormat/>
    <w:uiPriority w:val="0"/>
    <w:rPr>
      <w:rFonts w:asciiTheme="majorHAnsi" w:hAnsiTheme="majorHAnsi" w:cstheme="majorBidi"/>
      <w:bCs/>
      <w:kern w:val="28"/>
      <w:sz w:val="24"/>
      <w:szCs w:val="32"/>
    </w:rPr>
  </w:style>
  <w:style w:type="character" w:customStyle="1" w:styleId="24">
    <w:name w:val="页脚 Char"/>
    <w:link w:val="11"/>
    <w:qFormat/>
    <w:uiPriority w:val="99"/>
    <w:rPr>
      <w:rFonts w:ascii="Times New Roman" w:hAnsi="Times New Roman" w:eastAsiaTheme="minorEastAsia" w:cstheme="minorBidi"/>
      <w:sz w:val="18"/>
      <w:szCs w:val="18"/>
    </w:rPr>
  </w:style>
  <w:style w:type="paragraph" w:customStyle="1" w:styleId="25">
    <w:name w:val="TOC 标题1"/>
    <w:basedOn w:val="2"/>
    <w:next w:val="1"/>
    <w:semiHidden/>
    <w:unhideWhenUsed/>
    <w:qFormat/>
    <w:uiPriority w:val="39"/>
    <w:pPr>
      <w:widowControl/>
      <w:spacing w:beforeLines="0" w:afterLines="0" w:line="276" w:lineRule="auto"/>
      <w:jc w:val="left"/>
      <w:outlineLvl w:val="9"/>
    </w:pPr>
    <w:rPr>
      <w:rFonts w:asciiTheme="majorHAnsi" w:hAnsiTheme="majorHAnsi" w:eastAsiaTheme="majorEastAsia" w:cstheme="majorBidi"/>
      <w:color w:val="2E75B5" w:themeColor="accent1" w:themeShade="BF"/>
      <w:kern w:val="0"/>
      <w:sz w:val="28"/>
      <w:szCs w:val="28"/>
    </w:rPr>
  </w:style>
  <w:style w:type="character" w:customStyle="1" w:styleId="26">
    <w:name w:val="日期 Char"/>
    <w:basedOn w:val="17"/>
    <w:link w:val="9"/>
    <w:qFormat/>
    <w:uiPriority w:val="0"/>
    <w:rPr>
      <w:rFonts w:eastAsiaTheme="minorEastAsia" w:cstheme="minorBidi"/>
      <w:kern w:val="2"/>
      <w:sz w:val="21"/>
      <w:szCs w:val="24"/>
    </w:rPr>
  </w:style>
  <w:style w:type="character" w:customStyle="1" w:styleId="27">
    <w:name w:val="文档结构图 Char"/>
    <w:basedOn w:val="17"/>
    <w:link w:val="7"/>
    <w:qFormat/>
    <w:uiPriority w:val="0"/>
    <w:rPr>
      <w:rFonts w:ascii="宋体" w:cstheme="minorBidi"/>
      <w:kern w:val="2"/>
      <w:sz w:val="18"/>
      <w:szCs w:val="18"/>
    </w:rPr>
  </w:style>
  <w:style w:type="character" w:customStyle="1" w:styleId="28">
    <w:name w:val="标题 4 Char"/>
    <w:basedOn w:val="17"/>
    <w:link w:val="5"/>
    <w:qFormat/>
    <w:uiPriority w:val="0"/>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4" Type="http://schemas.openxmlformats.org/officeDocument/2006/relationships/fontTable" Target="fontTable.xml"/><Relationship Id="rId43" Type="http://schemas.openxmlformats.org/officeDocument/2006/relationships/customXml" Target="../customXml/item2.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34.png"/><Relationship Id="rId4" Type="http://schemas.openxmlformats.org/officeDocument/2006/relationships/footer" Target="footer1.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F5E50F-519D-465F-80F7-2494D352656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1316</Words>
  <Characters>7505</Characters>
  <Lines>62</Lines>
  <Paragraphs>17</Paragraphs>
  <TotalTime>1</TotalTime>
  <ScaleCrop>false</ScaleCrop>
  <LinksUpToDate>false</LinksUpToDate>
  <CharactersWithSpaces>8804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nge</dc:creator>
  <cp:lastModifiedBy>灵惠</cp:lastModifiedBy>
  <dcterms:modified xsi:type="dcterms:W3CDTF">2019-01-29T06:38:29Z</dcterms:modified>
  <cp:revision>310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